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Curriculum Developer Services — Philippines Manila</w:t>
      </w:r>
    </w:p>
    <w:bookmarkEnd w:id="20"/>
    <w:bookmarkStart w:id="21" w:name="prepared-by"/>
    <w:p>
      <w:pPr>
        <w:pStyle w:val="Heading3"/>
      </w:pPr>
      <w:r>
        <w:t xml:space="preserve">Prepared By:</w:t>
      </w:r>
    </w:p>
    <w:p>
      <w:pPr>
        <w:pStyle w:val="FirstParagraph"/>
      </w:pPr>
      <w:r>
        <w:rPr>
          <w:bCs/>
          <w:b/>
        </w:rPr>
        <w:t xml:space="preserve">Manila Educational Solutions Inc.</w:t>
      </w:r>
    </w:p>
    <w:p>
      <w:pPr>
        <w:pStyle w:val="BodyText"/>
      </w:pPr>
      <w:r>
        <w:t xml:space="preserve">128 Ayala Avenue, Makati City</w:t>
      </w:r>
    </w:p>
    <w:p>
      <w:pPr>
        <w:pStyle w:val="BodyText"/>
      </w:pPr>
      <w:r>
        <w:t xml:space="preserve">Philippines Manila, Metro Manila 1226</w:t>
      </w:r>
    </w:p>
    <w:p>
      <w:pPr>
        <w:pStyle w:val="BodyText"/>
      </w:pPr>
      <w:r>
        <w:t xml:space="preserve">Tel: +63 (2) 8888-4521</w:t>
      </w:r>
    </w:p>
    <w:p>
      <w:pPr>
        <w:pStyle w:val="BodyText"/>
      </w:pPr>
      <w:r>
        <w:t xml:space="preserve">Email: quotations@manilaedusolutions.ph</w:t>
      </w:r>
    </w:p>
    <w:p>
      <w:pPr>
        <w:pStyle w:val="BodyText"/>
      </w:pPr>
      <w:r>
        <w:t xml:space="preserve">TRN: 000-123-456-000</w:t>
      </w:r>
    </w:p>
    <w:bookmarkEnd w:id="21"/>
    <w:bookmarkStart w:id="22" w:name="prepared-for"/>
    <w:p>
      <w:pPr>
        <w:pStyle w:val="Heading3"/>
      </w:pPr>
      <w:r>
        <w:t xml:space="preserve">Prepared For:</w:t>
      </w:r>
    </w:p>
    <w:p>
      <w:pPr>
        <w:pStyle w:val="FirstParagraph"/>
      </w:pPr>
      <w:r>
        <w:rPr>
          <w:bCs/>
          <w:b/>
        </w:rPr>
        <w:t xml:space="preserve">Client Name / Institution</w:t>
      </w:r>
    </w:p>
    <w:p>
      <w:pPr>
        <w:pStyle w:val="BodyText"/>
      </w:pPr>
      <w:r>
        <w:t xml:space="preserve">Address in Philippines Manila</w:t>
      </w:r>
    </w:p>
    <w:p>
      <w:pPr>
        <w:pStyle w:val="BodyText"/>
      </w:pPr>
      <w:r>
        <w:t xml:space="preserve">Metro Manila, Philippines</w:t>
      </w:r>
    </w:p>
    <w:p>
      <w:pPr>
        <w:pStyle w:val="BodyText"/>
      </w:pPr>
      <w:r>
        <w:t xml:space="preserve">Contact Person: ___________________</w:t>
      </w:r>
    </w:p>
    <w:p>
      <w:pPr>
        <w:pStyle w:val="BodyText"/>
      </w:pPr>
      <w:r>
        <w:t xml:space="preserve">Email: ___________________</w:t>
      </w:r>
    </w:p>
    <w:bookmarkEnd w:id="22"/>
    <w:p>
      <w:pPr>
        <w:pStyle w:val="BodyText"/>
      </w:pPr>
      <w:r>
        <w:t xml:space="preserve">Quotation Estimate No.:</w:t>
      </w:r>
      <w:r>
        <w:t xml:space="preserve"> </w:t>
      </w:r>
      <w:r>
        <w:t xml:space="preserve">QTE-2025-0714-0032   |  </w:t>
      </w:r>
      <w:r>
        <w:t xml:space="preserve"> </w:t>
      </w:r>
      <w:r>
        <w:t xml:space="preserve">Date Issued:</w:t>
      </w:r>
      <w:r>
        <w:t xml:space="preserve"> </w:t>
      </w:r>
      <w:r>
        <w:t xml:space="preserve">July 14, 2025   |  </w:t>
      </w:r>
      <w:r>
        <w:t xml:space="preserve"> </w:t>
      </w:r>
      <w:r>
        <w:t xml:space="preserve">Valid Until:</w:t>
      </w:r>
      <w:r>
        <w:t xml:space="preserve"> </w:t>
      </w:r>
      <w:r>
        <w:t xml:space="preserve">August 13, 2025 (30 days)   |  </w:t>
      </w:r>
      <w:r>
        <w:t xml:space="preserve"> </w:t>
      </w:r>
      <w:r>
        <w:t xml:space="preserve">Service Location:</w:t>
      </w:r>
      <w:r>
        <w:t xml:space="preserve"> </w:t>
      </w:r>
      <w:r>
        <w:t xml:space="preserve">Philippines Manila</w:t>
      </w:r>
    </w:p>
    <w:bookmarkStart w:id="23" w:name="X7be7f6b5f7b0e2fcf46ebd3c90b7fd09da36920"/>
    <w:p>
      <w:pPr>
        <w:pStyle w:val="Heading2"/>
      </w:pPr>
      <w:r>
        <w:t xml:space="preserve">1. Scope of Services — Curriculum Developer Engagement</w:t>
      </w:r>
    </w:p>
    <w:p>
      <w:pPr>
        <w:pStyle w:val="FirstParagraph"/>
      </w:pPr>
      <w:r>
        <w:t xml:space="preserve">This</w:t>
      </w:r>
      <w:r>
        <w:t xml:space="preserve"> </w:t>
      </w:r>
      <w:r>
        <w:t xml:space="preserve">Quotation Estimate</w:t>
      </w:r>
      <w:r>
        <w:t xml:space="preserve"> </w:t>
      </w:r>
      <w:r>
        <w:t xml:space="preserve">is issued by Manila Educational Solutions Inc. to provide comprehensive</w:t>
      </w:r>
      <w:r>
        <w:t xml:space="preserve"> </w:t>
      </w:r>
      <w:r>
        <w:t xml:space="preserve">Curriculum Developer</w:t>
      </w:r>
      <w:r>
        <w:t xml:space="preserve"> </w:t>
      </w:r>
      <w:r>
        <w:t xml:space="preserve">services tailored for educational institutions, corporate training departments, and government agencies operating within</w:t>
      </w:r>
      <w:r>
        <w:t xml:space="preserve"> </w:t>
      </w:r>
      <w:r>
        <w:t xml:space="preserve">Philippines Manila</w:t>
      </w:r>
      <w:r>
        <w:t xml:space="preserve"> </w:t>
      </w:r>
      <w:r>
        <w:t xml:space="preserve">and the greater National Capital Region. Our team of certified Curriculum Developers specializes in designing, developing, and implementing structured learning programs aligned with the Department of Education (DepEd) standards, the Commission on Higher Education (CHED) guidelines, and international best practices in instructional design.</w:t>
      </w:r>
    </w:p>
    <w:p>
      <w:pPr>
        <w:pStyle w:val="BodyText"/>
      </w:pPr>
      <w:r>
        <w:t xml:space="preserve">The Curriculum Developer engagement outlined in this Quotation Estimate covers the full lifecycle of curriculum creation, including needs assessment, learning objective formulation, content architecture, instructional material development, assessment design, pilot testing, and final delivery. All services will be rendered on-site in Philippines Manila or through hybrid remote collaboration, depending on the client's operational requirements.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(PHP)</w:t>
            </w:r>
          </w:p>
        </w:tc>
        <w:tc>
          <w:tcPr/>
          <w:p>
            <w:pPr>
              <w:pStyle w:val="Compact"/>
              <w:jc w:val="left"/>
            </w:pPr>
            <w:r>
              <w:t xml:space="preserve">Amount (PHP)</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Initial Needs Assessment &amp; Stakeholder Consultation for Curriculum Developer project scoping in Philippines Manila</w:t>
            </w:r>
          </w:p>
        </w:tc>
        <w:tc>
          <w:tcPr/>
          <w:p>
            <w:pPr>
              <w:pStyle w:val="Compact"/>
              <w:jc w:val="left"/>
            </w:pPr>
            <w:r>
              <w:t xml:space="preserve">5 working days</w:t>
            </w:r>
          </w:p>
        </w:tc>
        <w:tc>
          <w:tcPr/>
          <w:p>
            <w:pPr>
              <w:pStyle w:val="Compact"/>
              <w:jc w:val="left"/>
            </w:pPr>
            <w:r>
              <w:t xml:space="preserve">18,000.00</w:t>
            </w:r>
          </w:p>
        </w:tc>
        <w:tc>
          <w:tcPr/>
          <w:p>
            <w:pPr>
              <w:pStyle w:val="Compact"/>
              <w:jc w:val="left"/>
            </w:pPr>
            <w:r>
              <w:t xml:space="preserve">90,000.00</w:t>
            </w:r>
          </w:p>
        </w:tc>
        <w:tc>
          <w:tcPr/>
          <w:p>
            <w:pPr>
              <w:pStyle w:val="Compact"/>
              <w:jc w:val="left"/>
            </w:pPr>
            <w:r>
              <w:t xml:space="preserve">On-site in Philippines Manila</w:t>
            </w:r>
          </w:p>
        </w:tc>
      </w:tr>
      <w:tr>
        <w:tc>
          <w:tcPr/>
          <w:p>
            <w:pPr>
              <w:pStyle w:val="Compact"/>
              <w:jc w:val="left"/>
            </w:pPr>
            <w:r>
              <w:t xml:space="preserve">2</w:t>
            </w:r>
          </w:p>
        </w:tc>
        <w:tc>
          <w:tcPr/>
          <w:p>
            <w:pPr>
              <w:pStyle w:val="Compact"/>
              <w:jc w:val="left"/>
            </w:pPr>
            <w:r>
              <w:t xml:space="preserve">Curriculum Framework Design &amp; Learning Outcome Mapping (aligned with DepEd K-12 / CHED standards)</w:t>
            </w:r>
          </w:p>
        </w:tc>
        <w:tc>
          <w:tcPr/>
          <w:p>
            <w:pPr>
              <w:pStyle w:val="Compact"/>
              <w:jc w:val="left"/>
            </w:pPr>
            <w:r>
              <w:t xml:space="preserve">15 working days</w:t>
            </w:r>
          </w:p>
        </w:tc>
        <w:tc>
          <w:tcPr/>
          <w:p>
            <w:pPr>
              <w:pStyle w:val="Compact"/>
              <w:jc w:val="left"/>
            </w:pPr>
            <w:r>
              <w:t xml:space="preserve">22,000.00</w:t>
            </w:r>
          </w:p>
        </w:tc>
        <w:tc>
          <w:tcPr/>
          <w:p>
            <w:pPr>
              <w:pStyle w:val="Compact"/>
              <w:jc w:val="left"/>
            </w:pPr>
            <w:r>
              <w:t xml:space="preserve">330,000.00</w:t>
            </w:r>
          </w:p>
        </w:tc>
        <w:tc>
          <w:tcPr/>
          <w:p>
            <w:pPr>
              <w:pStyle w:val="Compact"/>
              <w:jc w:val="left"/>
            </w:pPr>
            <w:r>
              <w:t xml:space="preserve">Includes 2 revision cycles</w:t>
            </w:r>
          </w:p>
        </w:tc>
      </w:tr>
      <w:tr>
        <w:tc>
          <w:tcPr/>
          <w:p>
            <w:pPr>
              <w:pStyle w:val="Compact"/>
              <w:jc w:val="left"/>
            </w:pPr>
            <w:r>
              <w:t xml:space="preserve">3</w:t>
            </w:r>
          </w:p>
        </w:tc>
        <w:tc>
          <w:tcPr/>
          <w:p>
            <w:pPr>
              <w:pStyle w:val="Compact"/>
              <w:jc w:val="left"/>
            </w:pPr>
            <w:r>
              <w:t xml:space="preserve">Development of Instructional Materials, Lesson Plans, and Assessment Instruments</w:t>
            </w:r>
          </w:p>
        </w:tc>
        <w:tc>
          <w:tcPr/>
          <w:p>
            <w:pPr>
              <w:pStyle w:val="Compact"/>
              <w:jc w:val="left"/>
            </w:pPr>
            <w:r>
              <w:t xml:space="preserve">20 working days</w:t>
            </w:r>
          </w:p>
        </w:tc>
        <w:tc>
          <w:tcPr/>
          <w:p>
            <w:pPr>
              <w:pStyle w:val="Compact"/>
              <w:jc w:val="left"/>
            </w:pPr>
            <w:r>
              <w:t xml:space="preserve">20,000.00</w:t>
            </w:r>
          </w:p>
        </w:tc>
        <w:tc>
          <w:tcPr/>
          <w:p>
            <w:pPr>
              <w:pStyle w:val="Compact"/>
              <w:jc w:val="left"/>
            </w:pPr>
            <w:r>
              <w:t xml:space="preserve">400,000.00</w:t>
            </w:r>
          </w:p>
        </w:tc>
        <w:tc>
          <w:tcPr/>
          <w:p>
            <w:pPr>
              <w:pStyle w:val="Compact"/>
              <w:jc w:val="left"/>
            </w:pPr>
            <w:r>
              <w:t xml:space="preserve">Per module (up to 5 modules)</w:t>
            </w:r>
          </w:p>
        </w:tc>
      </w:tr>
      <w:tr>
        <w:tc>
          <w:tcPr/>
          <w:p>
            <w:pPr>
              <w:pStyle w:val="Compact"/>
              <w:jc w:val="left"/>
            </w:pPr>
            <w:r>
              <w:t xml:space="preserve">4</w:t>
            </w:r>
          </w:p>
        </w:tc>
        <w:tc>
          <w:tcPr/>
          <w:p>
            <w:pPr>
              <w:pStyle w:val="Compact"/>
              <w:jc w:val="left"/>
            </w:pPr>
            <w:r>
              <w:t xml:space="preserve">Pilot Testing, Feedback Integration &amp; Curriculum Validation Workshop</w:t>
            </w:r>
          </w:p>
        </w:tc>
        <w:tc>
          <w:tcPr/>
          <w:p>
            <w:pPr>
              <w:pStyle w:val="Compact"/>
              <w:jc w:val="left"/>
            </w:pPr>
            <w:r>
              <w:t xml:space="preserve">7 working days</w:t>
            </w:r>
          </w:p>
        </w:tc>
        <w:tc>
          <w:tcPr/>
          <w:p>
            <w:pPr>
              <w:pStyle w:val="Compact"/>
              <w:jc w:val="left"/>
            </w:pPr>
            <w:r>
              <w:t xml:space="preserve">15,000.00</w:t>
            </w:r>
          </w:p>
        </w:tc>
        <w:tc>
          <w:tcPr/>
          <w:p>
            <w:pPr>
              <w:pStyle w:val="Compact"/>
              <w:jc w:val="left"/>
            </w:pPr>
            <w:r>
              <w:t xml:space="preserve">105,000.00</w:t>
            </w:r>
          </w:p>
        </w:tc>
        <w:tc>
          <w:tcPr/>
          <w:p>
            <w:pPr>
              <w:pStyle w:val="Compact"/>
              <w:jc w:val="left"/>
            </w:pPr>
            <w:r>
              <w:t xml:space="preserve">Conducted in Philippines Manila</w:t>
            </w:r>
          </w:p>
        </w:tc>
      </w:tr>
      <w:tr>
        <w:tc>
          <w:tcPr/>
          <w:p>
            <w:pPr>
              <w:pStyle w:val="Compact"/>
              <w:jc w:val="left"/>
            </w:pPr>
            <w:r>
              <w:t xml:space="preserve">5</w:t>
            </w:r>
          </w:p>
        </w:tc>
        <w:tc>
          <w:tcPr/>
          <w:p>
            <w:pPr>
              <w:pStyle w:val="Compact"/>
              <w:jc w:val="left"/>
            </w:pPr>
            <w:r>
              <w:t xml:space="preserve">Trainer-of-Trainers (ToT) Orientation &amp; Curriculum Developer Handover Session</w:t>
            </w:r>
          </w:p>
        </w:tc>
        <w:tc>
          <w:tcPr/>
          <w:p>
            <w:pPr>
              <w:pStyle w:val="Compact"/>
              <w:jc w:val="left"/>
            </w:pPr>
            <w:r>
              <w:t xml:space="preserve">3 working days</w:t>
            </w:r>
          </w:p>
        </w:tc>
        <w:tc>
          <w:tcPr/>
          <w:p>
            <w:pPr>
              <w:pStyle w:val="Compact"/>
              <w:jc w:val="left"/>
            </w:pPr>
            <w:r>
              <w:t xml:space="preserve">25,000.00</w:t>
            </w:r>
          </w:p>
        </w:tc>
        <w:tc>
          <w:tcPr/>
          <w:p>
            <w:pPr>
              <w:pStyle w:val="Compact"/>
              <w:jc w:val="left"/>
            </w:pPr>
            <w:r>
              <w:t xml:space="preserve">75,000.00</w:t>
            </w:r>
          </w:p>
        </w:tc>
        <w:tc>
          <w:tcPr/>
          <w:p>
            <w:pPr>
              <w:pStyle w:val="Compact"/>
              <w:jc w:val="left"/>
            </w:pPr>
            <w:r>
              <w:t xml:space="preserve">Up to 30 participants</w:t>
            </w:r>
          </w:p>
        </w:tc>
      </w:tr>
      <w:tr>
        <w:tc>
          <w:tcPr/>
          <w:p>
            <w:pPr>
              <w:pStyle w:val="Compact"/>
              <w:jc w:val="left"/>
            </w:pPr>
            <w:r>
              <w:t xml:space="preserve">6</w:t>
            </w:r>
          </w:p>
        </w:tc>
        <w:tc>
          <w:tcPr/>
          <w:p>
            <w:pPr>
              <w:pStyle w:val="Compact"/>
              <w:jc w:val="left"/>
            </w:pPr>
            <w:r>
              <w:t xml:space="preserve">Post-Implementation Support &amp; Minor Revisions (30-day window)</w:t>
            </w:r>
          </w:p>
        </w:tc>
        <w:tc>
          <w:tcPr/>
          <w:p>
            <w:pPr>
              <w:pStyle w:val="Compact"/>
              <w:jc w:val="left"/>
            </w:pPr>
            <w:r>
              <w:t xml:space="preserve">30 calendar days</w:t>
            </w:r>
          </w:p>
        </w:tc>
        <w:tc>
          <w:tcPr/>
          <w:p>
            <w:pPr>
              <w:pStyle w:val="Compact"/>
              <w:jc w:val="left"/>
            </w:pPr>
            <w:r>
              <w:t xml:space="preserve">10,000.00</w:t>
            </w:r>
          </w:p>
        </w:tc>
        <w:tc>
          <w:tcPr/>
          <w:p>
            <w:pPr>
              <w:pStyle w:val="Compact"/>
              <w:jc w:val="left"/>
            </w:pPr>
            <w:r>
              <w:t xml:space="preserve">300,000.00</w:t>
            </w:r>
          </w:p>
        </w:tc>
        <w:tc>
          <w:tcPr/>
          <w:p>
            <w:pPr>
              <w:pStyle w:val="Compact"/>
              <w:jc w:val="left"/>
            </w:pPr>
            <w:r>
              <w:t xml:space="preserve">Remote + 2 on-site visits</w:t>
            </w:r>
          </w:p>
        </w:tc>
      </w:tr>
      <w:tr>
        <w:tc>
          <w:tcPr/>
          <w:p>
            <w:pPr>
              <w:pStyle w:val="Compact"/>
              <w:jc w:val="left"/>
            </w:pPr>
            <w:r>
              <w:t xml:space="preserve">7</w:t>
            </w:r>
          </w:p>
        </w:tc>
        <w:tc>
          <w:tcPr/>
          <w:p>
            <w:pPr>
              <w:pStyle w:val="Compact"/>
              <w:jc w:val="left"/>
            </w:pPr>
            <w:r>
              <w:t xml:space="preserve">Project Management, Reporting &amp; Administrative Coordination</w:t>
            </w:r>
          </w:p>
        </w:tc>
        <w:tc>
          <w:tcPr/>
          <w:p>
            <w:pPr>
              <w:pStyle w:val="Compact"/>
              <w:jc w:val="left"/>
            </w:pPr>
            <w:r>
              <w:t xml:space="preserve">Entire project</w:t>
            </w:r>
          </w:p>
        </w:tc>
        <w:tc>
          <w:tcPr/>
          <w:p>
            <w:pPr>
              <w:pStyle w:val="Compact"/>
              <w:jc w:val="left"/>
            </w:pPr>
            <w:r>
              <w:t xml:space="preserve">12,000.00</w:t>
            </w:r>
          </w:p>
        </w:tc>
        <w:tc>
          <w:tcPr/>
          <w:p>
            <w:pPr>
              <w:pStyle w:val="Compact"/>
              <w:jc w:val="left"/>
            </w:pPr>
            <w:r>
              <w:t xml:space="preserve">120,000.00</w:t>
            </w:r>
          </w:p>
        </w:tc>
        <w:tc>
          <w:tcPr/>
          <w:p>
            <w:pPr>
              <w:pStyle w:val="Compact"/>
              <w:jc w:val="left"/>
            </w:pPr>
            <w:r>
              <w:t xml:space="preserve">Weekly progress reports</w:t>
            </w:r>
          </w:p>
        </w:tc>
      </w:tr>
      <w:tr>
        <w:tc>
          <w:tcPr>
            <w:gridSpan w:val="4"/>
          </w:tcPr>
          <w:p>
            <w:pPr>
              <w:pStyle w:val="Compact"/>
              <w:jc w:val="left"/>
            </w:pPr>
            <w:r>
              <w:t xml:space="preserve">Subtotal</w:t>
            </w:r>
          </w:p>
        </w:tc>
        <w:tc>
          <w:tcPr/>
          <w:p>
            <w:pPr>
              <w:pStyle w:val="Compact"/>
              <w:jc w:val="left"/>
            </w:pPr>
            <w:r>
              <w:t xml:space="preserve">1,420,000.00</w:t>
            </w:r>
          </w:p>
        </w:tc>
        <w:tc>
          <w:tcPr/>
          <w:p>
            <w:pPr>
              <w:pStyle w:val="Compact"/>
            </w:pPr>
          </w:p>
        </w:tc>
      </w:tr>
      <w:tr>
        <w:tc>
          <w:tcPr>
            <w:gridSpan w:val="4"/>
          </w:tcPr>
          <w:p>
            <w:pPr>
              <w:pStyle w:val="Compact"/>
              <w:jc w:val="left"/>
            </w:pPr>
            <w:r>
              <w:t xml:space="preserve">VAT (12%)</w:t>
            </w:r>
          </w:p>
        </w:tc>
        <w:tc>
          <w:tcPr/>
          <w:p>
            <w:pPr>
              <w:pStyle w:val="Compact"/>
              <w:jc w:val="left"/>
            </w:pPr>
            <w:r>
              <w:t xml:space="preserve">170,400.00</w:t>
            </w:r>
          </w:p>
        </w:tc>
        <w:tc>
          <w:tcPr/>
          <w:p>
            <w:pPr>
              <w:pStyle w:val="Compact"/>
            </w:pPr>
          </w:p>
        </w:tc>
      </w:tr>
      <w:tr>
        <w:tc>
          <w:tcPr>
            <w:gridSpan w:val="4"/>
          </w:tcPr>
          <w:p>
            <w:pPr>
              <w:pStyle w:val="Compact"/>
              <w:jc w:val="left"/>
            </w:pPr>
            <w:r>
              <w:rPr>
                <w:bCs/>
                <w:b/>
              </w:rPr>
              <w:t xml:space="preserve">GRAND TOTAL (PHP)</w:t>
            </w:r>
          </w:p>
        </w:tc>
        <w:tc>
          <w:tcPr/>
          <w:p>
            <w:pPr>
              <w:pStyle w:val="Compact"/>
              <w:jc w:val="left"/>
            </w:pPr>
            <w:r>
              <w:rPr>
                <w:bCs/>
                <w:b/>
              </w:rPr>
              <w:t xml:space="preserve">1,590,400.00</w:t>
            </w:r>
          </w:p>
        </w:tc>
        <w:tc>
          <w:tcPr/>
          <w:p>
            <w:pPr>
              <w:pStyle w:val="Compact"/>
            </w:pP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Beyond this period, pricing for the Curriculum Developer services may be subject to revision based on market conditions in Philippines Manila.</w:t>
      </w:r>
    </w:p>
    <w:p>
      <w:pPr>
        <w:numPr>
          <w:ilvl w:val="0"/>
          <w:numId w:val="1001"/>
        </w:numPr>
        <w:pStyle w:val="Compact"/>
      </w:pPr>
      <w:r>
        <w:t xml:space="preserve">Payment terms: 40% upon contract signing, 30% upon completion of Curriculum Framework Design (Item 2), 20% upon delivery of all Instructional Materials (Item 3), and 10% upon final acceptance after the Post-Implementation Support period.</w:t>
      </w:r>
    </w:p>
    <w:p>
      <w:pPr>
        <w:numPr>
          <w:ilvl w:val="0"/>
          <w:numId w:val="1001"/>
        </w:numPr>
        <w:pStyle w:val="Compact"/>
      </w:pPr>
      <w:r>
        <w:t xml:space="preserve">All Curriculum Developer deliverables shall be the exclusive intellectual property of the client upon full payment. Manila Educational Solutions Inc. retains the right to reference the project in its portfolio with client written consent.</w:t>
      </w:r>
    </w:p>
    <w:p>
      <w:pPr>
        <w:numPr>
          <w:ilvl w:val="0"/>
          <w:numId w:val="1001"/>
        </w:numPr>
        <w:pStyle w:val="Compact"/>
      </w:pPr>
      <w:r>
        <w:t xml:space="preserve">On-site services in Philippines Manila shall be conducted during regular business hours (8:00 AM to 5:00 PM, Monday to Friday). Travel and accommodation costs for the Curriculum Developer team beyond Metro Manila are excluded from this Quotation Estimate.</w:t>
      </w:r>
    </w:p>
    <w:p>
      <w:pPr>
        <w:numPr>
          <w:ilvl w:val="0"/>
          <w:numId w:val="1001"/>
        </w:numPr>
        <w:pStyle w:val="Compact"/>
      </w:pPr>
      <w:r>
        <w:t xml:space="preserve">Any scope changes, additional modules, or extended timelines beyond the agreed Curriculum Developer schedule will be subject to a supplementary Quotation Estimate and mutual written approval.</w:t>
      </w:r>
    </w:p>
    <w:p>
      <w:pPr>
        <w:numPr>
          <w:ilvl w:val="0"/>
          <w:numId w:val="1001"/>
        </w:numPr>
        <w:pStyle w:val="Compact"/>
      </w:pPr>
      <w:r>
        <w:t xml:space="preserve">This Quotation Estimate does not constitute a binding contract. A formal Service Agreement must be executed by both parties prior to the commencement of any Curriculum Developer work.</w:t>
      </w:r>
    </w:p>
    <w:p>
      <w:pPr>
        <w:numPr>
          <w:ilvl w:val="0"/>
          <w:numId w:val="1001"/>
        </w:numPr>
        <w:pStyle w:val="Compact"/>
      </w:pPr>
      <w:r>
        <w:t xml:space="preserve">Disputes arising from this Quotation Estimate or the subsequent engagement shall be resolved through amicable negotiation, and if unresolved, through the courts of competent jurisdiction in Philippines Manila.</w:t>
      </w:r>
    </w:p>
    <w:p>
      <w:pPr>
        <w:numPr>
          <w:ilvl w:val="0"/>
          <w:numId w:val="1001"/>
        </w:numPr>
        <w:pStyle w:val="Compact"/>
      </w:pPr>
      <w:r>
        <w:t xml:space="preserve">All rates are quoted in Philippine Pesos (PHP) and are inclusive of standard professional fees. Applicable taxes as mandated by the Bureau of Internal Revenue (BIR) of the Philippines are itemized separately.</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Curriculum Developer</w:t>
      </w:r>
      <w:r>
        <w:t xml:space="preserve"> </w:t>
      </w:r>
      <w:r>
        <w:t xml:space="preserve">services in</w:t>
      </w:r>
      <w:r>
        <w:t xml:space="preserve"> </w:t>
      </w:r>
      <w:r>
        <w:t xml:space="preserve">Philippines Manila</w:t>
      </w:r>
      <w:r>
        <w:t xml:space="preserve"> </w:t>
      </w:r>
      <w:r>
        <w:t xml:space="preserve">and agrees to the terms and conditions stated herein. This acceptance does not obligate either party to enter into a formal contract until a separate Service Agreement is executed.</w:t>
      </w:r>
    </w:p>
    <w:p>
      <w:pPr>
        <w:pStyle w:val="BodyText"/>
      </w:pPr>
      <w:r>
        <w:rPr>
          <w:bCs/>
          <w:b/>
        </w:rPr>
        <w:t xml:space="preserve">For Manila Educational Solutions Inc.</w:t>
      </w:r>
      <w:r>
        <w:br/>
      </w:r>
      <w:r>
        <w:t xml:space="preserve">Authorized Representative</w:t>
      </w:r>
      <w:r>
        <w:br/>
      </w:r>
      <w:r>
        <w:t xml:space="preserve">Name: ___________________________</w:t>
      </w:r>
      <w:r>
        <w:br/>
      </w:r>
      <w:r>
        <w:t xml:space="preserve">Title: Director, Curriculum Development Division</w:t>
      </w:r>
      <w:r>
        <w:br/>
      </w:r>
      <w:r>
        <w:t xml:space="preserve">Date: ___________________________</w:t>
      </w:r>
    </w:p>
    <w:p>
      <w:pPr>
        <w:pStyle w:val="BodyText"/>
      </w:pPr>
      <w:r>
        <w:rPr>
          <w:bCs/>
          <w:b/>
        </w:rPr>
        <w:t xml:space="preserve">For the Client / Institution</w:t>
      </w:r>
      <w:r>
        <w:br/>
      </w:r>
      <w:r>
        <w:t xml:space="preserve">Authorized Representative</w:t>
      </w:r>
      <w:r>
        <w:br/>
      </w:r>
      <w:r>
        <w:t xml:space="preserve">Name: ___________________________</w:t>
      </w:r>
      <w:r>
        <w:br/>
      </w:r>
      <w:r>
        <w:t xml:space="preserve">Title: ___________________________</w:t>
      </w:r>
      <w:r>
        <w:br/>
      </w:r>
      <w:r>
        <w:t xml:space="preserve">Date: ___________________________</w:t>
      </w:r>
    </w:p>
    <w:p>
      <w:pPr>
        <w:pStyle w:val="BodyText"/>
      </w:pPr>
      <w:r>
        <w:t xml:space="preserve">Manila Educational Solutions Inc. • 128 Ayala Avenue, Makati City, Philippines Manila 1226 • BIR-Registered • DepEd-Accredited Training Partner</w:t>
      </w:r>
    </w:p>
    <w:p>
      <w:pPr>
        <w:pStyle w:val="BodyText"/>
      </w:pPr>
      <w:r>
        <w:t xml:space="preserve">This Quotation Estimate is generated electronically and is valid without a physical seal. Reference No. QTE-2025-0714-0032.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Philippines Manila</dc:title>
  <dc:creator/>
  <dc:language>en</dc:language>
  <cp:keywords/>
  <dcterms:created xsi:type="dcterms:W3CDTF">2026-10-10T01:39:55Z</dcterms:created>
  <dcterms:modified xsi:type="dcterms:W3CDTF">2026-10-10T01:39:55Z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