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rPr>
          <w:bCs/>
          <w:b/>
        </w:rPr>
        <w:t xml:space="preserve">Ref. No.:</w:t>
      </w:r>
      <w:r>
        <w:t xml:space="preserve"> </w:t>
      </w:r>
      <w:r>
        <w:t xml:space="preserve">QE-RM-2025-04782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calendar days from the date of issue</w:t>
      </w:r>
    </w:p>
    <w:p>
      <w:pPr>
        <w:pStyle w:val="BodyText"/>
      </w:pPr>
      <w:r>
        <w:rPr>
          <w:bCs/>
          <w:b/>
        </w:rPr>
        <w:t xml:space="preserve">Prepared by:</w:t>
      </w:r>
      <w:r>
        <w:t xml:space="preserve"> </w:t>
      </w:r>
      <w:r>
        <w:t xml:space="preserve">EduBridge International Consulting LLC</w:t>
      </w:r>
    </w:p>
    <w:p>
      <w:pPr>
        <w:pStyle w:val="BodyText"/>
      </w:pPr>
      <w:r>
        <w:rPr>
          <w:bCs/>
          <w:b/>
        </w:rPr>
        <w:t xml:space="preserve">Address:</w:t>
      </w:r>
      <w:r>
        <w:t xml:space="preserve"> </w:t>
      </w:r>
      <w:r>
        <w:t xml:space="preserve">12 Tverskaya Street, Building 3, Moscow, Russia 101000</w:t>
      </w:r>
    </w:p>
    <w:p>
      <w:pPr>
        <w:pStyle w:val="BodyText"/>
      </w:pPr>
      <w:r>
        <w:rPr>
          <w:bCs/>
          <w:b/>
        </w:rPr>
        <w:t xml:space="preserve">Contact:</w:t>
      </w:r>
      <w:r>
        <w:t xml:space="preserve"> </w:t>
      </w:r>
      <w:r>
        <w:t xml:space="preserve">+7 (495) 555-0142 | estimates@edubridge-moscow.ru</w:t>
      </w:r>
    </w:p>
    <w:bookmarkEnd w:id="20"/>
    <w:bookmarkStart w:id="21" w:name="prepared-for-client"/>
    <w:p>
      <w:pPr>
        <w:pStyle w:val="Heading3"/>
      </w:pPr>
      <w:r>
        <w:t xml:space="preserve">Prepared For (Client)</w:t>
      </w:r>
    </w:p>
    <w:p>
      <w:pPr>
        <w:pStyle w:val="FirstParagraph"/>
      </w:pPr>
      <w:r>
        <w:rPr>
          <w:bCs/>
          <w:b/>
        </w:rPr>
        <w:t xml:space="preserve">Organization:</w:t>
      </w:r>
      <w:r>
        <w:t xml:space="preserve"> </w:t>
      </w:r>
      <w:r>
        <w:t xml:space="preserve">Moscow State Educational Development Institute</w:t>
      </w:r>
    </w:p>
    <w:p>
      <w:pPr>
        <w:pStyle w:val="BodyText"/>
      </w:pPr>
      <w:r>
        <w:rPr>
          <w:bCs/>
          <w:b/>
        </w:rPr>
        <w:t xml:space="preserve">Attn:</w:t>
      </w:r>
      <w:r>
        <w:t xml:space="preserve"> </w:t>
      </w:r>
      <w:r>
        <w:t xml:space="preserve">Dr. Elena V. Sokolova, Director of Academic Programs</w:t>
      </w:r>
    </w:p>
    <w:p>
      <w:pPr>
        <w:pStyle w:val="BodyText"/>
      </w:pPr>
      <w:r>
        <w:rPr>
          <w:bCs/>
          <w:b/>
        </w:rPr>
        <w:t xml:space="preserve">Address:</w:t>
      </w:r>
      <w:r>
        <w:t xml:space="preserve"> </w:t>
      </w:r>
      <w:r>
        <w:t xml:space="preserve">13 Leninsky Gorny Boulevard, Moscow, Russia 119234</w:t>
      </w:r>
    </w:p>
    <w:p>
      <w:pPr>
        <w:pStyle w:val="BodyText"/>
      </w:pPr>
      <w:r>
        <w:rPr>
          <w:bCs/>
          <w:b/>
        </w:rPr>
        <w:t xml:space="preserve">Phone:</w:t>
      </w:r>
      <w:r>
        <w:t xml:space="preserve"> </w:t>
      </w:r>
      <w:r>
        <w:t xml:space="preserve">+7 (495) 780-2210</w:t>
      </w:r>
    </w:p>
    <w:p>
      <w:pPr>
        <w:pStyle w:val="BodyText"/>
      </w:pPr>
      <w:r>
        <w:rPr>
          <w:bCs/>
          <w:b/>
        </w:rPr>
        <w:t xml:space="preserve">Email:</w:t>
      </w:r>
      <w:r>
        <w:t xml:space="preserve"> </w:t>
      </w:r>
      <w:r>
        <w:t xml:space="preserve">e.sokolova@msedi.ru</w:t>
      </w:r>
    </w:p>
    <w:bookmarkEnd w:id="21"/>
    <w:bookmarkStart w:id="22" w:name="project-details"/>
    <w:p>
      <w:pPr>
        <w:pStyle w:val="Heading3"/>
      </w:pPr>
      <w:r>
        <w:t xml:space="preserve">Project Details</w:t>
      </w:r>
    </w:p>
    <w:p>
      <w:pPr>
        <w:pStyle w:val="FirstParagraph"/>
      </w:pPr>
      <w:r>
        <w:rPr>
          <w:bCs/>
          <w:b/>
        </w:rPr>
        <w:t xml:space="preserve">Project Title:</w:t>
      </w:r>
      <w:r>
        <w:t xml:space="preserve"> </w:t>
      </w:r>
      <w:r>
        <w:t xml:space="preserve">Development of a Comprehensive K-12 STEM Curriculum Framework</w:t>
      </w:r>
    </w:p>
    <w:p>
      <w:pPr>
        <w:pStyle w:val="BodyText"/>
      </w:pPr>
      <w:r>
        <w:rPr>
          <w:bCs/>
          <w:b/>
        </w:rPr>
        <w:t xml:space="preserve">Service Category:</w:t>
      </w:r>
      <w:r>
        <w:t xml:space="preserve"> </w:t>
      </w:r>
      <w:r>
        <w:t xml:space="preserve">Curriculum Developer – Full Engagement</w:t>
      </w:r>
    </w:p>
    <w:p>
      <w:pPr>
        <w:pStyle w:val="BodyText"/>
      </w:pPr>
      <w:r>
        <w:rPr>
          <w:bCs/>
          <w:b/>
        </w:rPr>
        <w:t xml:space="preserve">Location of Delivery:</w:t>
      </w:r>
      <w:r>
        <w:t xml:space="preserve"> </w:t>
      </w:r>
      <w:r>
        <w:t xml:space="preserve">Russia Moscow (on-site and remote hybrid)</w:t>
      </w:r>
    </w:p>
    <w:p>
      <w:pPr>
        <w:pStyle w:val="BodyText"/>
      </w:pPr>
      <w:r>
        <w:rPr>
          <w:bCs/>
          <w:b/>
        </w:rPr>
        <w:t xml:space="preserve">Estimated Duration:</w:t>
      </w:r>
      <w:r>
        <w:t xml:space="preserve"> </w:t>
      </w:r>
      <w:r>
        <w:t xml:space="preserve">14 months (January 2026 – February 2027)</w:t>
      </w:r>
    </w:p>
    <w:p>
      <w:pPr>
        <w:pStyle w:val="BodyText"/>
      </w:pPr>
      <w:r>
        <w:rPr>
          <w:bCs/>
          <w:b/>
        </w:rPr>
        <w:t xml:space="preserve">Regulatory Framework:</w:t>
      </w:r>
      <w:r>
        <w:t xml:space="preserve"> </w:t>
      </w:r>
      <w:r>
        <w:t xml:space="preserve">Federal State Educational Standards (FSES) of the Russian Federation</w:t>
      </w:r>
    </w:p>
    <w:bookmarkEnd w:id="22"/>
    <w:bookmarkStart w:id="23" w:name="executive-summary"/>
    <w:p>
      <w:pPr>
        <w:pStyle w:val="Heading2"/>
      </w:pPr>
      <w:r>
        <w:t xml:space="preserve">1. Executive Summary</w:t>
      </w:r>
    </w:p>
    <w:p>
      <w:pPr>
        <w:pStyle w:val="FirstParagraph"/>
      </w:pPr>
      <w:r>
        <w:t xml:space="preserve">This Quotation Estimate is issued by EduBridge International Consulting LLC in response to the formal request for proposal submitted by the Moscow State Educational Development Institute. The purpose of this document is to provide a detailed, itemized cost breakdown for the engagement of a senior Curriculum Developer to design, develop, and deliver a comprehensive K-12 STEM curriculum framework tailored specifically for implementation across public and private educational institutions in Russia Moscow. All pricing, deliverables, and terms outlined in this Quotation Estimate are binding upon mutual acceptance and execution of the accompanying Service Agreement.</w:t>
      </w:r>
    </w:p>
    <w:bookmarkEnd w:id="23"/>
    <w:bookmarkStart w:id="24" w:name="X9a0da295572e1cb799c4d0c15a0465470538eb7"/>
    <w:p>
      <w:pPr>
        <w:pStyle w:val="Heading2"/>
      </w:pPr>
      <w:r>
        <w:t xml:space="preserve">2. Scope of Work – Curriculum Developer Services</w:t>
      </w:r>
    </w:p>
    <w:p>
      <w:pPr>
        <w:pStyle w:val="FirstParagraph"/>
      </w:pPr>
      <w:r>
        <w:t xml:space="preserve">The Curriculum Developer engaged under this Quotation Estimate shall perform the following duties and deliverables:</w:t>
      </w:r>
    </w:p>
    <w:p>
      <w:pPr>
        <w:numPr>
          <w:ilvl w:val="0"/>
          <w:numId w:val="1001"/>
        </w:numPr>
        <w:pStyle w:val="Compact"/>
      </w:pPr>
      <w:r>
        <w:rPr>
          <w:bCs/>
          <w:b/>
        </w:rPr>
        <w:t xml:space="preserve">Needs Assessment &amp; Stakeholder Consultation:</w:t>
      </w:r>
      <w:r>
        <w:t xml:space="preserve"> </w:t>
      </w:r>
      <w:r>
        <w:t xml:space="preserve">Conduct a minimum of 40 hours of on-site research across 12 pilot schools in Russia Moscow to identify pedagogical gaps, resource availability, and teacher readiness. Deliver a 60-page Needs Assessment Report within 8 weeks of project commencement.</w:t>
      </w:r>
    </w:p>
    <w:p>
      <w:pPr>
        <w:numPr>
          <w:ilvl w:val="0"/>
          <w:numId w:val="1001"/>
        </w:numPr>
        <w:pStyle w:val="Compact"/>
      </w:pPr>
      <w:r>
        <w:rPr>
          <w:bCs/>
          <w:b/>
        </w:rPr>
        <w:t xml:space="preserve">Curriculum Architecture Design:</w:t>
      </w:r>
      <w:r>
        <w:t xml:space="preserve"> </w:t>
      </w:r>
      <w:r>
        <w:t xml:space="preserve">Develop a modular, standards-aligned curriculum framework covering Mathematics, Physics, Chemistry, Biology, and Computer Science for grades 1 through 12. The framework must comply with the Federal State Educational Standards (FSES) and incorporate competency-based learning outcomes.</w:t>
      </w:r>
    </w:p>
    <w:p>
      <w:pPr>
        <w:numPr>
          <w:ilvl w:val="0"/>
          <w:numId w:val="1001"/>
        </w:numPr>
        <w:pStyle w:val="Compact"/>
      </w:pPr>
      <w:r>
        <w:rPr>
          <w:bCs/>
          <w:b/>
        </w:rPr>
        <w:t xml:space="preserve">Instructional Material Development:</w:t>
      </w:r>
      <w:r>
        <w:t xml:space="preserve"> </w:t>
      </w:r>
      <w:r>
        <w:t xml:space="preserve">Author 180+ lesson plans, 36 unit assessments, 12 laboratory manuals, and 4 digital interactive modules. All materials shall be produced in Russian with optional English annotations for international accreditation purposes.</w:t>
      </w:r>
    </w:p>
    <w:p>
      <w:pPr>
        <w:numPr>
          <w:ilvl w:val="0"/>
          <w:numId w:val="1001"/>
        </w:numPr>
        <w:pStyle w:val="Compact"/>
      </w:pPr>
      <w:r>
        <w:rPr>
          <w:bCs/>
          <w:b/>
        </w:rPr>
        <w:t xml:space="preserve">Teacher Training Program:</w:t>
      </w:r>
      <w:r>
        <w:t xml:space="preserve"> </w:t>
      </w:r>
      <w:r>
        <w:t xml:space="preserve">Design and deliver a 40-hour professional development workshop series for 200+ educators across Russia Moscow. Training sessions will be conducted at the client's designated facilities in central Moscow.</w:t>
      </w:r>
    </w:p>
    <w:p>
      <w:pPr>
        <w:numPr>
          <w:ilvl w:val="0"/>
          <w:numId w:val="1001"/>
        </w:numPr>
        <w:pStyle w:val="Compact"/>
      </w:pPr>
      <w:r>
        <w:rPr>
          <w:bCs/>
          <w:b/>
        </w:rPr>
        <w:t xml:space="preserve">Pilot Implementation &amp; Iterative Refinement:</w:t>
      </w:r>
      <w:r>
        <w:t xml:space="preserve"> </w:t>
      </w:r>
      <w:r>
        <w:t xml:space="preserve">Oversee a 12-week pilot rollout in 6 selected schools in Russia Moscow, collect quantitative and qualitative feedback, and produce a revised curriculum package incorporating all identified improvements.</w:t>
      </w:r>
    </w:p>
    <w:p>
      <w:pPr>
        <w:numPr>
          <w:ilvl w:val="0"/>
          <w:numId w:val="1001"/>
        </w:numPr>
        <w:pStyle w:val="Compact"/>
      </w:pPr>
      <w:r>
        <w:rPr>
          <w:bCs/>
          <w:b/>
        </w:rPr>
        <w:t xml:space="preserve">Final Documentation &amp; Handover:</w:t>
      </w:r>
      <w:r>
        <w:t xml:space="preserve"> </w:t>
      </w:r>
      <w:r>
        <w:t xml:space="preserve">Deliver a complete Curriculum Developer portfolio including all source files, implementation guides, assessment rubrics, and a 90-page final project report suitable for submission to the Moscow Department of Education.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Needs Assessment &amp; Stakeholder Consultation (on-site, Russia Moscow)</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Weeks 1–8</w:t>
            </w:r>
          </w:p>
        </w:tc>
      </w:tr>
      <w:tr>
        <w:tc>
          <w:tcPr/>
          <w:p>
            <w:pPr>
              <w:pStyle w:val="Compact"/>
              <w:jc w:val="left"/>
            </w:pPr>
            <w:r>
              <w:t xml:space="preserve">2</w:t>
            </w:r>
          </w:p>
        </w:tc>
        <w:tc>
          <w:tcPr/>
          <w:p>
            <w:pPr>
              <w:pStyle w:val="Compact"/>
              <w:jc w:val="left"/>
            </w:pPr>
            <w:r>
              <w:t xml:space="preserve">Curriculum Architecture Design (K-12 STEM Framework)</w:t>
            </w:r>
          </w:p>
        </w:tc>
        <w:tc>
          <w:tcPr/>
          <w:p>
            <w:pPr>
              <w:pStyle w:val="Compact"/>
              <w:jc w:val="left"/>
            </w:pPr>
            <w:r>
              <w:t xml:space="preserve">1 package</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Weeks 9–24</w:t>
            </w:r>
          </w:p>
        </w:tc>
      </w:tr>
      <w:tr>
        <w:tc>
          <w:tcPr/>
          <w:p>
            <w:pPr>
              <w:pStyle w:val="Compact"/>
              <w:jc w:val="left"/>
            </w:pPr>
            <w:r>
              <w:t xml:space="preserve">3</w:t>
            </w:r>
          </w:p>
        </w:tc>
        <w:tc>
          <w:tcPr/>
          <w:p>
            <w:pPr>
              <w:pStyle w:val="Compact"/>
              <w:jc w:val="left"/>
            </w:pPr>
            <w:r>
              <w:t xml:space="preserve">Instructional Material Development (lesson plans, assessments, labs, digital modules)</w:t>
            </w:r>
          </w:p>
        </w:tc>
        <w:tc>
          <w:tcPr/>
          <w:p>
            <w:pPr>
              <w:pStyle w:val="Compact"/>
              <w:jc w:val="left"/>
            </w:pPr>
            <w:r>
              <w:t xml:space="preserve">1 lot</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Weeks 25–40</w:t>
            </w:r>
          </w:p>
        </w:tc>
      </w:tr>
      <w:tr>
        <w:tc>
          <w:tcPr/>
          <w:p>
            <w:pPr>
              <w:pStyle w:val="Compact"/>
              <w:jc w:val="left"/>
            </w:pPr>
            <w:r>
              <w:t xml:space="preserve">4</w:t>
            </w:r>
          </w:p>
        </w:tc>
        <w:tc>
          <w:tcPr/>
          <w:p>
            <w:pPr>
              <w:pStyle w:val="Compact"/>
              <w:jc w:val="left"/>
            </w:pPr>
            <w:r>
              <w:t xml:space="preserve">Teacher Training Program Design &amp; Delivery (40 hrs × 5 cohorts)</w:t>
            </w:r>
          </w:p>
        </w:tc>
        <w:tc>
          <w:tcPr/>
          <w:p>
            <w:pPr>
              <w:pStyle w:val="Compact"/>
              <w:jc w:val="left"/>
            </w:pPr>
            <w:r>
              <w:t xml:space="preserve">200 hrs</w:t>
            </w:r>
          </w:p>
        </w:tc>
        <w:tc>
          <w:tcPr/>
          <w:p>
            <w:pPr>
              <w:pStyle w:val="Compact"/>
              <w:jc w:val="left"/>
            </w:pPr>
            <w:r>
              <w:t xml:space="preserve">145.00</w:t>
            </w:r>
          </w:p>
        </w:tc>
        <w:tc>
          <w:tcPr/>
          <w:p>
            <w:pPr>
              <w:pStyle w:val="Compact"/>
              <w:jc w:val="left"/>
            </w:pPr>
            <w:r>
              <w:t xml:space="preserve">29,000.00</w:t>
            </w:r>
          </w:p>
        </w:tc>
        <w:tc>
          <w:tcPr/>
          <w:p>
            <w:pPr>
              <w:pStyle w:val="Compact"/>
              <w:jc w:val="left"/>
            </w:pPr>
            <w:r>
              <w:t xml:space="preserve">Weeks 41–52</w:t>
            </w:r>
          </w:p>
        </w:tc>
      </w:tr>
      <w:tr>
        <w:tc>
          <w:tcPr/>
          <w:p>
            <w:pPr>
              <w:pStyle w:val="Compact"/>
              <w:jc w:val="left"/>
            </w:pPr>
            <w:r>
              <w:t xml:space="preserve">5</w:t>
            </w:r>
          </w:p>
        </w:tc>
        <w:tc>
          <w:tcPr/>
          <w:p>
            <w:pPr>
              <w:pStyle w:val="Compact"/>
              <w:jc w:val="left"/>
            </w:pPr>
            <w:r>
              <w:t xml:space="preserve">Pilot Implementation Oversight (6 schools, Russia Moscow)</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Weeks 53–64</w:t>
            </w:r>
          </w:p>
        </w:tc>
      </w:tr>
      <w:tr>
        <w:tc>
          <w:tcPr/>
          <w:p>
            <w:pPr>
              <w:pStyle w:val="Compact"/>
              <w:jc w:val="left"/>
            </w:pPr>
            <w:r>
              <w:t xml:space="preserve">6</w:t>
            </w:r>
          </w:p>
        </w:tc>
        <w:tc>
          <w:tcPr/>
          <w:p>
            <w:pPr>
              <w:pStyle w:val="Compact"/>
              <w:jc w:val="left"/>
            </w:pPr>
            <w:r>
              <w:t xml:space="preserve">Iterative Refinement &amp; Revised Curriculum Package</w:t>
            </w:r>
          </w:p>
        </w:tc>
        <w:tc>
          <w:tcPr/>
          <w:p>
            <w:pPr>
              <w:pStyle w:val="Compact"/>
              <w:jc w:val="left"/>
            </w:pPr>
            <w:r>
              <w:t xml:space="preserve">1 lot</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Weeks 65–72</w:t>
            </w:r>
          </w:p>
        </w:tc>
      </w:tr>
      <w:tr>
        <w:tc>
          <w:tcPr/>
          <w:p>
            <w:pPr>
              <w:pStyle w:val="Compact"/>
              <w:jc w:val="left"/>
            </w:pPr>
            <w:r>
              <w:t xml:space="preserve">7</w:t>
            </w:r>
          </w:p>
        </w:tc>
        <w:tc>
          <w:tcPr/>
          <w:p>
            <w:pPr>
              <w:pStyle w:val="Compact"/>
              <w:jc w:val="left"/>
            </w:pPr>
            <w:r>
              <w:t xml:space="preserve">Final Documentation, Handover &amp; Project Report</w:t>
            </w:r>
          </w:p>
        </w:tc>
        <w:tc>
          <w:tcPr/>
          <w:p>
            <w:pPr>
              <w:pStyle w:val="Compact"/>
              <w:jc w:val="left"/>
            </w:pPr>
            <w:r>
              <w:t xml:space="preserve">1 lot</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Weeks 73–78</w:t>
            </w:r>
          </w:p>
        </w:tc>
      </w:tr>
      <w:tr>
        <w:tc>
          <w:tcPr/>
          <w:p>
            <w:pPr>
              <w:pStyle w:val="Compact"/>
              <w:jc w:val="left"/>
            </w:pPr>
            <w:r>
              <w:t xml:space="preserve">8</w:t>
            </w:r>
          </w:p>
        </w:tc>
        <w:tc>
          <w:tcPr/>
          <w:p>
            <w:pPr>
              <w:pStyle w:val="Compact"/>
              <w:jc w:val="left"/>
            </w:pPr>
            <w:r>
              <w:t xml:space="preserve">Travel, Accommodation &amp; Local Logistics (Russia Moscow, 14 months)</w:t>
            </w:r>
          </w:p>
        </w:tc>
        <w:tc>
          <w:tcPr/>
          <w:p>
            <w:pPr>
              <w:pStyle w:val="Compact"/>
              <w:jc w:val="left"/>
            </w:pPr>
            <w:r>
              <w:t xml:space="preserve">1 lot</w:t>
            </w:r>
          </w:p>
        </w:tc>
        <w:tc>
          <w:tcPr/>
          <w:p>
            <w:pPr>
              <w:pStyle w:val="Compact"/>
              <w:jc w:val="left"/>
            </w:pPr>
            <w:r>
              <w:t xml:space="preserve">9,850.00</w:t>
            </w:r>
          </w:p>
        </w:tc>
        <w:tc>
          <w:tcPr/>
          <w:p>
            <w:pPr>
              <w:pStyle w:val="Compact"/>
              <w:jc w:val="left"/>
            </w:pPr>
            <w:r>
              <w:t xml:space="preserve">9,850.00</w:t>
            </w:r>
          </w:p>
        </w:tc>
        <w:tc>
          <w:tcPr/>
          <w:p>
            <w:pPr>
              <w:pStyle w:val="Compact"/>
              <w:jc w:val="left"/>
            </w:pPr>
            <w:r>
              <w:t xml:space="preserve">Entire duration</w:t>
            </w:r>
          </w:p>
        </w:tc>
      </w:tr>
      <w:tr>
        <w:tc>
          <w:tcPr/>
          <w:p>
            <w:pPr>
              <w:pStyle w:val="Compact"/>
              <w:jc w:val="left"/>
            </w:pPr>
            <w:r>
              <w:t xml:space="preserve">9</w:t>
            </w:r>
          </w:p>
        </w:tc>
        <w:tc>
          <w:tcPr/>
          <w:p>
            <w:pPr>
              <w:pStyle w:val="Compact"/>
              <w:jc w:val="left"/>
            </w:pPr>
            <w:r>
              <w:t xml:space="preserve">Project Management &amp; Quality Assurance Oversight</w:t>
            </w:r>
          </w:p>
        </w:tc>
        <w:tc>
          <w:tcPr/>
          <w:p>
            <w:pPr>
              <w:pStyle w:val="Compact"/>
              <w:jc w:val="left"/>
            </w:pPr>
            <w:r>
              <w:t xml:space="preserve">14 months</w:t>
            </w:r>
          </w:p>
        </w:tc>
        <w:tc>
          <w:tcPr/>
          <w:p>
            <w:pPr>
              <w:pStyle w:val="Compact"/>
              <w:jc w:val="left"/>
            </w:pPr>
            <w:r>
              <w:t xml:space="preserve">4,100.00</w:t>
            </w:r>
          </w:p>
        </w:tc>
        <w:tc>
          <w:tcPr/>
          <w:p>
            <w:pPr>
              <w:pStyle w:val="Compact"/>
              <w:jc w:val="left"/>
            </w:pPr>
            <w:r>
              <w:t xml:space="preserve">57,400.00</w:t>
            </w:r>
          </w:p>
        </w:tc>
        <w:tc>
          <w:tcPr/>
          <w:p>
            <w:pPr>
              <w:pStyle w:val="Compact"/>
              <w:jc w:val="left"/>
            </w:pPr>
            <w:r>
              <w:t xml:space="preserve">Entire duration</w:t>
            </w:r>
          </w:p>
        </w:tc>
      </w:tr>
      <w:tr>
        <w:tc>
          <w:tcPr/>
          <w:p>
            <w:pPr>
              <w:pStyle w:val="Compact"/>
              <w:jc w:val="left"/>
            </w:pPr>
            <w:r>
              <w:t xml:space="preserve">10</w:t>
            </w:r>
          </w:p>
        </w:tc>
        <w:tc>
          <w:tcPr/>
          <w:p>
            <w:pPr>
              <w:pStyle w:val="Compact"/>
              <w:jc w:val="left"/>
            </w:pPr>
            <w:r>
              <w:t xml:space="preserve">Contingency &amp; Unforeseen Scope Adjustments (5%)</w:t>
            </w:r>
          </w:p>
        </w:tc>
        <w:tc>
          <w:tcPr/>
          <w:p>
            <w:pPr>
              <w:pStyle w:val="Compact"/>
              <w:jc w:val="left"/>
            </w:pPr>
            <w:r>
              <w:t xml:space="preserve">1 lot</w:t>
            </w:r>
          </w:p>
        </w:tc>
        <w:tc>
          <w:tcPr/>
          <w:p>
            <w:pPr>
              <w:pStyle w:val="Compact"/>
              <w:jc w:val="left"/>
            </w:pPr>
            <w:r>
              <w:t xml:space="preserve">—</w:t>
            </w:r>
          </w:p>
        </w:tc>
        <w:tc>
          <w:tcPr/>
          <w:p>
            <w:pPr>
              <w:pStyle w:val="Compact"/>
              <w:jc w:val="left"/>
            </w:pPr>
            <w:r>
              <w:t xml:space="preserve">28,247.50</w:t>
            </w:r>
          </w:p>
        </w:tc>
        <w:tc>
          <w:tcPr/>
          <w:p>
            <w:pPr>
              <w:pStyle w:val="Compact"/>
              <w:jc w:val="left"/>
            </w:pPr>
            <w:r>
              <w:t xml:space="preserve">As required</w:t>
            </w:r>
          </w:p>
        </w:tc>
      </w:tr>
      <w:tr>
        <w:tc>
          <w:tcPr>
            <w:gridSpan w:val="4"/>
          </w:tcPr>
          <w:p>
            <w:pPr>
              <w:pStyle w:val="Compact"/>
              <w:jc w:val="left"/>
            </w:pPr>
            <w:r>
              <w:rPr>
                <w:bCs/>
                <w:b/>
              </w:rPr>
              <w:t xml:space="preserve">TOTAL ESTIMATED COST (USD)</w:t>
            </w:r>
          </w:p>
        </w:tc>
        <w:tc>
          <w:tcPr/>
          <w:p>
            <w:pPr>
              <w:pStyle w:val="Compact"/>
              <w:jc w:val="left"/>
            </w:pPr>
            <w:r>
              <w:rPr>
                <w:bCs/>
                <w:b/>
              </w:rPr>
              <w:t xml:space="preserve">322,847.50</w:t>
            </w:r>
          </w:p>
        </w:tc>
        <w:tc>
          <w:tcPr/>
          <w:p>
            <w:pPr>
              <w:pStyle w:val="Compact"/>
            </w:pPr>
          </w:p>
        </w:tc>
      </w:tr>
    </w:tbl>
    <w:p>
      <w:pPr>
        <w:pStyle w:val="BodyText"/>
      </w:pPr>
      <w:r>
        <w:rPr>
          <w:bCs/>
          <w:b/>
        </w:rPr>
        <w:t xml:space="preserve">Note:</w:t>
      </w:r>
      <w:r>
        <w:t xml:space="preserve"> </w:t>
      </w:r>
      <w:r>
        <w:t xml:space="preserve">All amounts in this Quotation Estimate are quoted in United States Dollars (USD). Payment shall be processed in Russian Rubles (RUB) at the Central Bank of Russia exchange rate prevailing on the date of each invoice. Applicable Value Added Tax (VAT) at 20% as per the Tax Code of the Russian Federation shall be added to the subtotal if the client is a VAT-registered entity.</w:t>
      </w:r>
    </w:p>
    <w:bookmarkEnd w:id="25"/>
    <w:bookmarkStart w:id="26" w:name="payment-terms"/>
    <w:p>
      <w:pPr>
        <w:pStyle w:val="Heading2"/>
      </w:pPr>
      <w:r>
        <w:t xml:space="preserve">4. Payment Terms</w:t>
      </w:r>
    </w:p>
    <w:p>
      <w:pPr>
        <w:pStyle w:val="FirstParagraph"/>
      </w:pPr>
      <w:r>
        <w:t xml:space="preserve">Payment for the Curriculum Developer engagement shall be structured as follows:</w:t>
      </w:r>
    </w:p>
    <w:p>
      <w:pPr>
        <w:numPr>
          <w:ilvl w:val="0"/>
          <w:numId w:val="1002"/>
        </w:numPr>
        <w:pStyle w:val="Compact"/>
      </w:pPr>
      <w:r>
        <w:rPr>
          <w:bCs/>
          <w:b/>
        </w:rPr>
        <w:t xml:space="preserve">Advance Payment (30%):</w:t>
      </w:r>
      <w:r>
        <w:t xml:space="preserve"> </w:t>
      </w:r>
      <w:r>
        <w:t xml:space="preserve">USD 96,854.25 – due within 10 business days of contract execution.</w:t>
      </w:r>
    </w:p>
    <w:p>
      <w:pPr>
        <w:numPr>
          <w:ilvl w:val="0"/>
          <w:numId w:val="1002"/>
        </w:numPr>
        <w:pStyle w:val="Compact"/>
      </w:pPr>
      <w:r>
        <w:rPr>
          <w:bCs/>
          <w:b/>
        </w:rPr>
        <w:t xml:space="preserve">Milestone Payment 1 (25%):</w:t>
      </w:r>
      <w:r>
        <w:t xml:space="preserve"> </w:t>
      </w:r>
      <w:r>
        <w:t xml:space="preserve">USD 80,711.88 – due upon delivery and client acceptance of the Curriculum Architecture Design (Milestone 2).</w:t>
      </w:r>
    </w:p>
    <w:p>
      <w:pPr>
        <w:numPr>
          <w:ilvl w:val="0"/>
          <w:numId w:val="1002"/>
        </w:numPr>
        <w:pStyle w:val="Compact"/>
      </w:pPr>
      <w:r>
        <w:rPr>
          <w:bCs/>
          <w:b/>
        </w:rPr>
        <w:t xml:space="preserve">Milestone Payment 2 (25%):</w:t>
      </w:r>
      <w:r>
        <w:t xml:space="preserve"> </w:t>
      </w:r>
      <w:r>
        <w:t xml:space="preserve">USD 80,711.88 – due upon completion of the Pilot Implementation phase (Milestone 5).</w:t>
      </w:r>
    </w:p>
    <w:p>
      <w:pPr>
        <w:numPr>
          <w:ilvl w:val="0"/>
          <w:numId w:val="1002"/>
        </w:numPr>
        <w:pStyle w:val="Compact"/>
      </w:pPr>
      <w:r>
        <w:rPr>
          <w:bCs/>
          <w:b/>
        </w:rPr>
        <w:t xml:space="preserve">Final Payment (20%):</w:t>
      </w:r>
      <w:r>
        <w:t xml:space="preserve"> </w:t>
      </w:r>
      <w:r>
        <w:t xml:space="preserve">USD 64,569.49 – due within 15 business days of final handover and acceptance of all deliverables.</w:t>
      </w:r>
    </w:p>
    <w:p>
      <w:pPr>
        <w:pStyle w:val="FirstParagraph"/>
      </w:pPr>
      <w:r>
        <w:t xml:space="preserve">All invoices shall be payable via wire transfer to the account of EduBridge International Consulting LLC, Sberbank, Moscow, Russia. Late payments shall accrue interest at 1.5% per month as stipulated under Russian civil law.</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Beyond this period, pricing may be subject to revision due to market fluctuations, exchange rate changes, or resource availability in Russia Moscow.</w:t>
      </w:r>
    </w:p>
    <w:p>
      <w:pPr>
        <w:numPr>
          <w:ilvl w:val="0"/>
          <w:numId w:val="1003"/>
        </w:numPr>
        <w:pStyle w:val="Compact"/>
      </w:pPr>
      <w:r>
        <w:t xml:space="preserve">The Curriculum Developer assigned to this project shall be a certified educational specialist with a minimum of 10 years of experience in curriculum design, fluent in Russian, and familiar with the FSES regulatory framework.</w:t>
      </w:r>
    </w:p>
    <w:p>
      <w:pPr>
        <w:numPr>
          <w:ilvl w:val="0"/>
          <w:numId w:val="1003"/>
        </w:numPr>
        <w:pStyle w:val="Compact"/>
      </w:pPr>
      <w:r>
        <w:t xml:space="preserve">All intellectual property created under this engagement shall be jointly owned by the client and EduBridge International Consulting LLC, with the client holding exclusive rights to use, reproduce, and distribute the curriculum materials within the Russian Federation.</w:t>
      </w:r>
    </w:p>
    <w:p>
      <w:pPr>
        <w:numPr>
          <w:ilvl w:val="0"/>
          <w:numId w:val="1003"/>
        </w:numPr>
        <w:pStyle w:val="Compact"/>
      </w:pPr>
      <w:r>
        <w:t xml:space="preserve">Either party may terminate this agreement with 30 days' written notice. In the event of early termination, the client shall be liable for all work completed up to the termination date plus a 10% administrative fee.</w:t>
      </w:r>
    </w:p>
    <w:p>
      <w:pPr>
        <w:numPr>
          <w:ilvl w:val="0"/>
          <w:numId w:val="1003"/>
        </w:numPr>
        <w:pStyle w:val="Compact"/>
      </w:pPr>
      <w:r>
        <w:t xml:space="preserve">This Quotation Estimate does not constitute a binding contract until both parties have executed the formal Service Agreement in duplicate.</w:t>
      </w:r>
    </w:p>
    <w:p>
      <w:pPr>
        <w:numPr>
          <w:ilvl w:val="0"/>
          <w:numId w:val="1003"/>
        </w:numPr>
        <w:pStyle w:val="Compact"/>
      </w:pPr>
      <w:r>
        <w:t xml:space="preserve">All disputes arising from this engagement shall be resolved through arbitration in Moscow, Russia, in accordance with the rules of the International Commercial Arbitration Court at the Chamber of Commerce and Industry of Russia.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conditions, and pricing set forth in this Quotation Estimate for the Curriculum Developer services to be delivered in Russia Moscow.</w:t>
      </w:r>
    </w:p>
    <w:p>
      <w:pPr>
        <w:pStyle w:val="BodyText"/>
      </w:pPr>
      <w:r>
        <w:rPr>
          <w:bCs/>
          <w:b/>
        </w:rPr>
        <w:t xml:space="preserve">For EduBridge International Consulting LLC</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Moscow State Educational Development Institute</w:t>
      </w:r>
    </w:p>
    <w:p>
      <w:pPr>
        <w:pStyle w:val="BodyText"/>
      </w:pPr>
      <w:r>
        <w:t xml:space="preserve">Name: ___________________________</w:t>
      </w:r>
    </w:p>
    <w:p>
      <w:pPr>
        <w:pStyle w:val="BodyText"/>
      </w:pPr>
      <w:r>
        <w:t xml:space="preserve">Title: Director of Academic Programs</w:t>
      </w:r>
    </w:p>
    <w:p>
      <w:pPr>
        <w:pStyle w:val="BodyText"/>
      </w:pPr>
      <w:r>
        <w:t xml:space="preserve">Signature: _________________________</w:t>
      </w:r>
    </w:p>
    <w:p>
      <w:pPr>
        <w:pStyle w:val="BodyText"/>
      </w:pPr>
      <w:r>
        <w:t xml:space="preserve">Date: _____________________________</w:t>
      </w:r>
    </w:p>
    <w:p>
      <w:pPr>
        <w:pStyle w:val="BodyText"/>
      </w:pPr>
      <w:r>
        <w:t xml:space="preserve">Quotation Estimate Ref. QE-RM-2025-04782 | EduBridge International Consulting LLC | Moscow, Russia | Page 1 of 1</w:t>
      </w:r>
    </w:p>
    <w:p>
      <w:pPr>
        <w:pStyle w:val="BodyText"/>
      </w:pPr>
      <w:r>
        <w:t xml:space="preserve">This document is confidential and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Russia Moscow</dc:title>
  <dc:creator/>
  <dc:language>en</dc:language>
  <cp:keywords/>
  <dcterms:created xsi:type="dcterms:W3CDTF">2026-10-10T02:10:05Z</dcterms:created>
  <dcterms:modified xsi:type="dcterms:W3CDTF">2026-10-10T02:10:05Z</dcterms:modified>
</cp:coreProperties>
</file>

<file path=docProps/custom.xml><?xml version="1.0" encoding="utf-8"?>
<Properties xmlns="http://schemas.openxmlformats.org/officeDocument/2006/custom-properties" xmlns:vt="http://schemas.openxmlformats.org/officeDocument/2006/docPropsVTypes"/>
</file>