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edvista-learning-solutions-co.-ltd."/>
    <w:p>
      <w:pPr>
        <w:pStyle w:val="Heading1"/>
      </w:pPr>
      <w:r>
        <w:t xml:space="preserve">EdVista Learning Solutions Co., Ltd.</w:t>
      </w:r>
    </w:p>
    <w:p>
      <w:pPr>
        <w:pStyle w:val="FirstParagraph"/>
      </w:pPr>
      <w:r>
        <w:t xml:space="preserve">128 Sukhumvit Road, Khlong Toei, Bangkok 10110, Thailand</w:t>
      </w:r>
    </w:p>
    <w:p>
      <w:pPr>
        <w:pStyle w:val="BodyText"/>
      </w:pPr>
      <w:r>
        <w:t xml:space="preserve">Tel: +66 (0) 2 255 8890 | Email: quotations@edvista-thailand.com</w:t>
      </w:r>
    </w:p>
    <w:p>
      <w:pPr>
        <w:pStyle w:val="BodyText"/>
      </w:pPr>
      <w:r>
        <w:t xml:space="preserve">Company Registration No. 0105556789012 | VAT No. 0105556789012</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QE-2025-BKK-0472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Project Location:</w:t>
      </w:r>
      <w:r>
        <w:t xml:space="preserve"> </w:t>
      </w:r>
      <w:r>
        <w:t xml:space="preserve">Thailand Bangkok</w:t>
      </w:r>
    </w:p>
    <w:p>
      <w:pPr>
        <w:pStyle w:val="BodyText"/>
      </w:pPr>
      <w:r>
        <w:rPr>
          <w:bCs/>
          <w:b/>
        </w:rPr>
        <w:t xml:space="preserve">Service Category:</w:t>
      </w:r>
      <w:r>
        <w:t xml:space="preserve"> </w:t>
      </w:r>
      <w:r>
        <w:t xml:space="preserve">Curriculum Developer</w:t>
      </w:r>
    </w:p>
    <w:bookmarkEnd w:id="21"/>
    <w:bookmarkStart w:id="22" w:name="prepared-for"/>
    <w:p>
      <w:pPr>
        <w:pStyle w:val="Heading3"/>
      </w:pPr>
      <w:r>
        <w:t xml:space="preserve">Prepared For</w:t>
      </w:r>
    </w:p>
    <w:p>
      <w:pPr>
        <w:pStyle w:val="FirstParagraph"/>
      </w:pPr>
      <w:r>
        <w:rPr>
          <w:bCs/>
          <w:b/>
        </w:rPr>
        <w:t xml:space="preserve">Client:</w:t>
      </w:r>
      <w:r>
        <w:t xml:space="preserve"> </w:t>
      </w:r>
      <w:r>
        <w:t xml:space="preserve">[Client Name / Organization]</w:t>
      </w:r>
    </w:p>
    <w:p>
      <w:pPr>
        <w:pStyle w:val="BodyText"/>
      </w:pPr>
      <w:r>
        <w:rPr>
          <w:bCs/>
          <w:b/>
        </w:rPr>
        <w:t xml:space="preserve">Address:</w:t>
      </w:r>
      <w:r>
        <w:t xml:space="preserve"> </w:t>
      </w:r>
      <w:r>
        <w:t xml:space="preserve">[Street, District, Bangkok, Thailand]</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[client@email.com]</w:t>
      </w:r>
    </w:p>
    <w:p>
      <w:pPr>
        <w:pStyle w:val="BodyText"/>
      </w:pPr>
      <w:r>
        <w:rPr>
          <w:bCs/>
          <w:b/>
        </w:rPr>
        <w:t xml:space="preserve">Phone:</w:t>
      </w:r>
      <w:r>
        <w:t xml:space="preserve"> </w:t>
      </w:r>
      <w:r>
        <w:t xml:space="preserve">[Phone Number]</w:t>
      </w:r>
    </w:p>
    <w:bookmarkEnd w:id="22"/>
    <w:p>
      <w:pPr>
        <w:pStyle w:val="BodyText"/>
      </w:pPr>
      <w:r>
        <w:t xml:space="preserve">Dear Valued Client,</w:t>
      </w:r>
    </w:p>
    <w:p>
      <w:pPr>
        <w:pStyle w:val="BodyText"/>
      </w:pPr>
      <w:r>
        <w:t xml:space="preserve">Thank you for considering EdVista Learning Solutions Co., Ltd. for your educational development needs. This</w:t>
      </w:r>
      <w:r>
        <w:t xml:space="preserve"> </w:t>
      </w:r>
      <w:r>
        <w:t xml:space="preserve">Quotation Estimate</w:t>
      </w:r>
      <w:r>
        <w:t xml:space="preserve"> </w:t>
      </w:r>
      <w:r>
        <w:t xml:space="preserve">outlines the comprehensive professional services of our senior</w:t>
      </w:r>
      <w:r>
        <w:t xml:space="preserve"> </w:t>
      </w:r>
      <w:r>
        <w:t xml:space="preserve">Curriculum Developer</w:t>
      </w:r>
      <w:r>
        <w:t xml:space="preserve"> </w:t>
      </w:r>
      <w:r>
        <w:t xml:space="preserve">team, specifically tailored for implementation within the</w:t>
      </w:r>
      <w:r>
        <w:t xml:space="preserve"> </w:t>
      </w:r>
      <w:r>
        <w:t xml:space="preserve">Thailand Bangkok</w:t>
      </w:r>
      <w:r>
        <w:t xml:space="preserve"> </w:t>
      </w:r>
      <w:r>
        <w:t xml:space="preserve">metropolitan education sector. We are pleased to present the following detailed cost breakdown for your review and approval.</w:t>
      </w:r>
    </w:p>
    <w:p>
      <w:pPr>
        <w:pStyle w:val="BodyText"/>
      </w:pPr>
      <w:r>
        <w:t xml:space="preserve">Scope of Work – Curriculum Developer Services in Thailand Bangkok</w:t>
      </w:r>
    </w:p>
    <w:p>
      <w:pPr>
        <w:pStyle w:val="BodyText"/>
      </w:pPr>
      <w:r>
        <w:t xml:space="preserve">Our</w:t>
      </w:r>
      <w:r>
        <w:t xml:space="preserve"> </w:t>
      </w:r>
      <w:r>
        <w:t xml:space="preserve">Curriculum Developer</w:t>
      </w:r>
      <w:r>
        <w:t xml:space="preserve"> </w:t>
      </w:r>
      <w:r>
        <w:t xml:space="preserve">will deliver a full-cycle curriculum design and development programme aligned with the Thai Ministry of Education (MOE) standards, the Basic Education Core Curriculum B.E. 2551 (2008) and its subsequent amendments, as well as international frameworks such as IB and Cambridge where applicable. All deliverables will be contextualised for the</w:t>
      </w:r>
      <w:r>
        <w:t xml:space="preserve"> </w:t>
      </w:r>
      <w:r>
        <w:t xml:space="preserve">Thailand Bangkok</w:t>
      </w:r>
      <w:r>
        <w:t xml:space="preserve"> </w:t>
      </w:r>
      <w:r>
        <w:t xml:space="preserve">educational landscape, incorporating local cultural considerations, bilingual (Thai-English) instructional materials, and compliance with the Office of the Basic Education Commission (OBEC) regulations.</w:t>
      </w:r>
    </w:p>
    <w:p>
      <w:pPr>
        <w:pStyle w:val="BodyText"/>
      </w:pPr>
      <w:r>
        <w:t xml:space="preserve">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 Deliverable</w:t>
            </w:r>
          </w:p>
        </w:tc>
        <w:tc>
          <w:tcPr/>
          <w:p>
            <w:pPr>
              <w:pStyle w:val="Compact"/>
              <w:jc w:val="left"/>
            </w:pPr>
            <w:r>
              <w:t xml:space="preserve">Duration</w:t>
            </w:r>
          </w:p>
        </w:tc>
        <w:tc>
          <w:tcPr/>
          <w:p>
            <w:pPr>
              <w:pStyle w:val="Compact"/>
              <w:jc w:val="left"/>
            </w:pPr>
            <w:r>
              <w:t xml:space="preserve">Rate (THB)</w:t>
            </w:r>
          </w:p>
        </w:tc>
        <w:tc>
          <w:tcPr/>
          <w:p>
            <w:pPr>
              <w:pStyle w:val="Compact"/>
              <w:jc w:val="left"/>
            </w:pPr>
            <w:r>
              <w:t xml:space="preserve">Amount (THB)</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Needs Assessment &amp; Stakeholder Consultation – Curriculum Developer conducts on-site analysis at client's Bangkok campus, interviews faculty, reviews existing materials, and maps alignment gaps against MOE standards.</w:t>
            </w:r>
          </w:p>
        </w:tc>
        <w:tc>
          <w:tcPr/>
          <w:p>
            <w:pPr>
              <w:pStyle w:val="Compact"/>
              <w:jc w:val="left"/>
            </w:pPr>
            <w:r>
              <w:t xml:space="preserve">2 weeks</w:t>
            </w:r>
          </w:p>
        </w:tc>
        <w:tc>
          <w:tcPr/>
          <w:p>
            <w:pPr>
              <w:pStyle w:val="Compact"/>
              <w:jc w:val="left"/>
            </w:pPr>
            <w:r>
              <w:t xml:space="preserve">45,000 / day</w:t>
            </w:r>
          </w:p>
        </w:tc>
        <w:tc>
          <w:tcPr/>
          <w:p>
            <w:pPr>
              <w:pStyle w:val="Compact"/>
              <w:jc w:val="left"/>
            </w:pPr>
            <w:r>
              <w:t xml:space="preserve">900,000</w:t>
            </w:r>
          </w:p>
        </w:tc>
        <w:tc>
          <w:tcPr/>
          <w:p>
            <w:pPr>
              <w:pStyle w:val="Compact"/>
              <w:jc w:val="left"/>
            </w:pPr>
            <w:r>
              <w:t xml:space="preserve">On-site in Thailand Bangkok</w:t>
            </w:r>
          </w:p>
        </w:tc>
      </w:tr>
      <w:tr>
        <w:tc>
          <w:tcPr/>
          <w:p>
            <w:pPr>
              <w:pStyle w:val="Compact"/>
              <w:jc w:val="left"/>
            </w:pPr>
            <w:r>
              <w:t xml:space="preserve">2</w:t>
            </w:r>
          </w:p>
        </w:tc>
        <w:tc>
          <w:tcPr/>
          <w:p>
            <w:pPr>
              <w:pStyle w:val="Compact"/>
              <w:jc w:val="left"/>
            </w:pPr>
            <w:r>
              <w:t xml:space="preserve">Curriculum Framework Design – Development of a comprehensive curriculum architecture including learning objectives, competency maps, assessment strategies, and pedagogical approaches for the target grade levels.</w:t>
            </w:r>
          </w:p>
        </w:tc>
        <w:tc>
          <w:tcPr/>
          <w:p>
            <w:pPr>
              <w:pStyle w:val="Compact"/>
              <w:jc w:val="left"/>
            </w:pPr>
            <w:r>
              <w:t xml:space="preserve">4 weeks</w:t>
            </w:r>
          </w:p>
        </w:tc>
        <w:tc>
          <w:tcPr/>
          <w:p>
            <w:pPr>
              <w:pStyle w:val="Compact"/>
              <w:jc w:val="left"/>
            </w:pPr>
            <w:r>
              <w:t xml:space="preserve">38,000 / day</w:t>
            </w:r>
          </w:p>
        </w:tc>
        <w:tc>
          <w:tcPr/>
          <w:p>
            <w:pPr>
              <w:pStyle w:val="Compact"/>
              <w:jc w:val="left"/>
            </w:pPr>
            <w:r>
              <w:t xml:space="preserve">760,000</w:t>
            </w:r>
          </w:p>
        </w:tc>
        <w:tc>
          <w:tcPr/>
          <w:p>
            <w:pPr>
              <w:pStyle w:val="Compact"/>
              <w:jc w:val="left"/>
            </w:pPr>
            <w:r>
              <w:t xml:space="preserve">Includes 2 revision cycles</w:t>
            </w:r>
          </w:p>
        </w:tc>
      </w:tr>
      <w:tr>
        <w:tc>
          <w:tcPr/>
          <w:p>
            <w:pPr>
              <w:pStyle w:val="Compact"/>
              <w:jc w:val="left"/>
            </w:pPr>
            <w:r>
              <w:t xml:space="preserve">3</w:t>
            </w:r>
          </w:p>
        </w:tc>
        <w:tc>
          <w:tcPr/>
          <w:p>
            <w:pPr>
              <w:pStyle w:val="Compact"/>
              <w:jc w:val="left"/>
            </w:pPr>
            <w:r>
              <w:t xml:space="preserve">Instructional Material Development – Authoring of teacher guides, student workbooks, lesson plans, and digital resource modules in both Thai and English for the Thailand Bangkok context.</w:t>
            </w:r>
          </w:p>
        </w:tc>
        <w:tc>
          <w:tcPr/>
          <w:p>
            <w:pPr>
              <w:pStyle w:val="Compact"/>
              <w:jc w:val="left"/>
            </w:pPr>
            <w:r>
              <w:t xml:space="preserve">6 weeks</w:t>
            </w:r>
          </w:p>
        </w:tc>
        <w:tc>
          <w:tcPr/>
          <w:p>
            <w:pPr>
              <w:pStyle w:val="Compact"/>
              <w:jc w:val="left"/>
            </w:pPr>
            <w:r>
              <w:t xml:space="preserve">35,000 / day</w:t>
            </w:r>
          </w:p>
        </w:tc>
        <w:tc>
          <w:tcPr/>
          <w:p>
            <w:pPr>
              <w:pStyle w:val="Compact"/>
              <w:jc w:val="left"/>
            </w:pPr>
            <w:r>
              <w:t xml:space="preserve">1,400,000</w:t>
            </w:r>
          </w:p>
        </w:tc>
        <w:tc>
          <w:tcPr/>
          <w:p>
            <w:pPr>
              <w:pStyle w:val="Compact"/>
              <w:jc w:val="left"/>
            </w:pPr>
            <w:r>
              <w:t xml:space="preserve">Bilingual deliverables</w:t>
            </w:r>
          </w:p>
        </w:tc>
      </w:tr>
      <w:tr>
        <w:tc>
          <w:tcPr/>
          <w:p>
            <w:pPr>
              <w:pStyle w:val="Compact"/>
              <w:jc w:val="left"/>
            </w:pPr>
            <w:r>
              <w:t xml:space="preserve">4</w:t>
            </w:r>
          </w:p>
        </w:tc>
        <w:tc>
          <w:tcPr/>
          <w:p>
            <w:pPr>
              <w:pStyle w:val="Compact"/>
              <w:jc w:val="left"/>
            </w:pPr>
            <w:r>
              <w:t xml:space="preserve">Assessment &amp; Evaluation Design – Creation of formative and summative assessment instruments, rubrics, and performance-based evaluation tools compliant with OBEC guidelines.</w:t>
            </w:r>
          </w:p>
        </w:tc>
        <w:tc>
          <w:tcPr/>
          <w:p>
            <w:pPr>
              <w:pStyle w:val="Compact"/>
              <w:jc w:val="left"/>
            </w:pPr>
            <w:r>
              <w:t xml:space="preserve">3 weeks</w:t>
            </w:r>
          </w:p>
        </w:tc>
        <w:tc>
          <w:tcPr/>
          <w:p>
            <w:pPr>
              <w:pStyle w:val="Compact"/>
              <w:jc w:val="left"/>
            </w:pPr>
            <w:r>
              <w:t xml:space="preserve">38,000 / day</w:t>
            </w:r>
          </w:p>
        </w:tc>
        <w:tc>
          <w:tcPr/>
          <w:p>
            <w:pPr>
              <w:pStyle w:val="Compact"/>
              <w:jc w:val="left"/>
            </w:pPr>
            <w:r>
              <w:t xml:space="preserve">570,000</w:t>
            </w:r>
          </w:p>
        </w:tc>
        <w:tc>
          <w:tcPr/>
          <w:p>
            <w:pPr>
              <w:pStyle w:val="Compact"/>
              <w:jc w:val="left"/>
            </w:pPr>
            <w:r>
              <w:t xml:space="preserve">Includes pilot testing</w:t>
            </w:r>
          </w:p>
        </w:tc>
      </w:tr>
      <w:tr>
        <w:tc>
          <w:tcPr/>
          <w:p>
            <w:pPr>
              <w:pStyle w:val="Compact"/>
              <w:jc w:val="left"/>
            </w:pPr>
            <w:r>
              <w:t xml:space="preserve">5</w:t>
            </w:r>
          </w:p>
        </w:tc>
        <w:tc>
          <w:tcPr/>
          <w:p>
            <w:pPr>
              <w:pStyle w:val="Compact"/>
              <w:jc w:val="left"/>
            </w:pPr>
            <w:r>
              <w:t xml:space="preserve">Faculty Training &amp; Professional Development – Curriculum Developer leads a 5-day intensive workshop series for teaching staff in Bangkok, covering implementation strategies, differentiated instruction, and assessment literacy.</w:t>
            </w:r>
          </w:p>
        </w:tc>
        <w:tc>
          <w:tcPr/>
          <w:p>
            <w:pPr>
              <w:pStyle w:val="Compact"/>
              <w:jc w:val="left"/>
            </w:pPr>
            <w:r>
              <w:t xml:space="preserve">5 days</w:t>
            </w:r>
          </w:p>
        </w:tc>
        <w:tc>
          <w:tcPr/>
          <w:p>
            <w:pPr>
              <w:pStyle w:val="Compact"/>
              <w:jc w:val="left"/>
            </w:pPr>
            <w:r>
              <w:t xml:space="preserve">65,000 / day</w:t>
            </w:r>
          </w:p>
        </w:tc>
        <w:tc>
          <w:tcPr/>
          <w:p>
            <w:pPr>
              <w:pStyle w:val="Compact"/>
              <w:jc w:val="left"/>
            </w:pPr>
            <w:r>
              <w:t xml:space="preserve">325,000</w:t>
            </w:r>
          </w:p>
        </w:tc>
        <w:tc>
          <w:tcPr/>
          <w:p>
            <w:pPr>
              <w:pStyle w:val="Compact"/>
              <w:jc w:val="left"/>
            </w:pPr>
            <w:r>
              <w:t xml:space="preserve">Up to 40 participants</w:t>
            </w:r>
          </w:p>
        </w:tc>
      </w:tr>
      <w:tr>
        <w:tc>
          <w:tcPr/>
          <w:p>
            <w:pPr>
              <w:pStyle w:val="Compact"/>
              <w:jc w:val="left"/>
            </w:pPr>
            <w:r>
              <w:t xml:space="preserve">6</w:t>
            </w:r>
          </w:p>
        </w:tc>
        <w:tc>
          <w:tcPr/>
          <w:p>
            <w:pPr>
              <w:pStyle w:val="Compact"/>
              <w:jc w:val="left"/>
            </w:pPr>
            <w:r>
              <w:t xml:space="preserve">Pilot Implementation &amp; Feedback Integration – On-site monitoring of curriculum delivery in selected Thailand Bangkok classrooms, collection of qualitative and quantitative feedback, and iterative refinement.</w:t>
            </w:r>
          </w:p>
        </w:tc>
        <w:tc>
          <w:tcPr/>
          <w:p>
            <w:pPr>
              <w:pStyle w:val="Compact"/>
              <w:jc w:val="left"/>
            </w:pPr>
            <w:r>
              <w:t xml:space="preserve">3 weeks</w:t>
            </w:r>
          </w:p>
        </w:tc>
        <w:tc>
          <w:tcPr/>
          <w:p>
            <w:pPr>
              <w:pStyle w:val="Compact"/>
              <w:jc w:val="left"/>
            </w:pPr>
            <w:r>
              <w:t xml:space="preserve">40,000 / day</w:t>
            </w:r>
          </w:p>
        </w:tc>
        <w:tc>
          <w:tcPr/>
          <w:p>
            <w:pPr>
              <w:pStyle w:val="Compact"/>
              <w:jc w:val="left"/>
            </w:pPr>
            <w:r>
              <w:t xml:space="preserve">600,000</w:t>
            </w:r>
          </w:p>
        </w:tc>
        <w:tc>
          <w:tcPr/>
          <w:p>
            <w:pPr>
              <w:pStyle w:val="Compact"/>
              <w:jc w:val="left"/>
            </w:pPr>
            <w:r>
              <w:t xml:space="preserve">2 pilot schools</w:t>
            </w:r>
          </w:p>
        </w:tc>
      </w:tr>
      <w:tr>
        <w:tc>
          <w:tcPr/>
          <w:p>
            <w:pPr>
              <w:pStyle w:val="Compact"/>
              <w:jc w:val="left"/>
            </w:pPr>
            <w:r>
              <w:t xml:space="preserve">7</w:t>
            </w:r>
          </w:p>
        </w:tc>
        <w:tc>
          <w:tcPr/>
          <w:p>
            <w:pPr>
              <w:pStyle w:val="Compact"/>
              <w:jc w:val="left"/>
            </w:pPr>
            <w:r>
              <w:t xml:space="preserve">Final Documentation &amp; Handover – Compilation of the complete curriculum package, administrative reports, sustainability roadmap, and formal handover presentation to client leadership in Bangkok.</w:t>
            </w:r>
          </w:p>
        </w:tc>
        <w:tc>
          <w:tcPr/>
          <w:p>
            <w:pPr>
              <w:pStyle w:val="Compact"/>
              <w:jc w:val="left"/>
            </w:pPr>
            <w:r>
              <w:t xml:space="preserve">1 week</w:t>
            </w:r>
          </w:p>
        </w:tc>
        <w:tc>
          <w:tcPr/>
          <w:p>
            <w:pPr>
              <w:pStyle w:val="Compact"/>
              <w:jc w:val="left"/>
            </w:pPr>
            <w:r>
              <w:t xml:space="preserve">35,000 / day</w:t>
            </w:r>
          </w:p>
        </w:tc>
        <w:tc>
          <w:tcPr/>
          <w:p>
            <w:pPr>
              <w:pStyle w:val="Compact"/>
              <w:jc w:val="left"/>
            </w:pPr>
            <w:r>
              <w:t xml:space="preserve">175,000</w:t>
            </w:r>
          </w:p>
        </w:tc>
        <w:tc>
          <w:tcPr/>
          <w:p>
            <w:pPr>
              <w:pStyle w:val="Compact"/>
              <w:jc w:val="left"/>
            </w:pPr>
            <w:r>
              <w:t xml:space="preserve">Digital &amp; print copies</w:t>
            </w:r>
          </w:p>
        </w:tc>
      </w:tr>
      <w:tr>
        <w:tc>
          <w:tcPr/>
          <w:p>
            <w:pPr>
              <w:pStyle w:val="Compact"/>
              <w:jc w:val="left"/>
            </w:pPr>
            <w:r>
              <w:t xml:space="preserve">8</w:t>
            </w:r>
          </w:p>
        </w:tc>
        <w:tc>
          <w:tcPr/>
          <w:p>
            <w:pPr>
              <w:pStyle w:val="Compact"/>
              <w:jc w:val="left"/>
            </w:pPr>
            <w:r>
              <w:t xml:space="preserve">Post-Implementation Support (3 months) – Remote and on-site advisory support for the Curriculum Developer to address implementation queries, troubleshoot challenges, and provide ongoing guidance.</w:t>
            </w:r>
          </w:p>
        </w:tc>
        <w:tc>
          <w:tcPr/>
          <w:p>
            <w:pPr>
              <w:pStyle w:val="Compact"/>
              <w:jc w:val="left"/>
            </w:pPr>
            <w:r>
              <w:t xml:space="preserve">3 months</w:t>
            </w:r>
          </w:p>
        </w:tc>
        <w:tc>
          <w:tcPr/>
          <w:p>
            <w:pPr>
              <w:pStyle w:val="Compact"/>
              <w:jc w:val="left"/>
            </w:pPr>
            <w:r>
              <w:t xml:space="preserve">25,000 / month</w:t>
            </w:r>
          </w:p>
        </w:tc>
        <w:tc>
          <w:tcPr/>
          <w:p>
            <w:pPr>
              <w:pStyle w:val="Compact"/>
              <w:jc w:val="left"/>
            </w:pPr>
            <w:r>
              <w:t xml:space="preserve">75,000</w:t>
            </w:r>
          </w:p>
        </w:tc>
        <w:tc>
          <w:tcPr/>
          <w:p>
            <w:pPr>
              <w:pStyle w:val="Compact"/>
              <w:jc w:val="left"/>
            </w:pPr>
            <w:r>
              <w:t xml:space="preserve">2 on-site visits included</w:t>
            </w:r>
          </w:p>
        </w:tc>
      </w:tr>
      <w:tr>
        <w:tc>
          <w:tcPr>
            <w:gridSpan w:val="4"/>
          </w:tcPr>
          <w:p>
            <w:pPr>
              <w:pStyle w:val="Compact"/>
              <w:jc w:val="left"/>
            </w:pPr>
            <w:r>
              <w:t xml:space="preserve">Subtotal (THB)</w:t>
            </w:r>
          </w:p>
        </w:tc>
        <w:tc>
          <w:tcPr/>
          <w:p>
            <w:pPr>
              <w:pStyle w:val="Compact"/>
              <w:jc w:val="left"/>
            </w:pPr>
            <w:r>
              <w:t xml:space="preserve">4,805,000</w:t>
            </w:r>
          </w:p>
        </w:tc>
        <w:tc>
          <w:tcPr/>
          <w:p>
            <w:pPr>
              <w:pStyle w:val="Compact"/>
            </w:pPr>
          </w:p>
        </w:tc>
      </w:tr>
      <w:tr>
        <w:tc>
          <w:tcPr>
            <w:gridSpan w:val="4"/>
          </w:tcPr>
          <w:p>
            <w:pPr>
              <w:pStyle w:val="Compact"/>
              <w:jc w:val="left"/>
            </w:pPr>
            <w:r>
              <w:t xml:space="preserve">VAT 7% (THB)</w:t>
            </w:r>
          </w:p>
        </w:tc>
        <w:tc>
          <w:tcPr/>
          <w:p>
            <w:pPr>
              <w:pStyle w:val="Compact"/>
              <w:jc w:val="left"/>
            </w:pPr>
            <w:r>
              <w:t xml:space="preserve">336,350</w:t>
            </w:r>
          </w:p>
        </w:tc>
        <w:tc>
          <w:tcPr/>
          <w:p>
            <w:pPr>
              <w:pStyle w:val="Compact"/>
            </w:pPr>
          </w:p>
        </w:tc>
      </w:tr>
      <w:tr>
        <w:tc>
          <w:tcPr>
            <w:gridSpan w:val="4"/>
          </w:tcPr>
          <w:p>
            <w:pPr>
              <w:pStyle w:val="Compact"/>
              <w:jc w:val="left"/>
            </w:pPr>
            <w:r>
              <w:rPr>
                <w:bCs/>
                <w:b/>
              </w:rPr>
              <w:t xml:space="preserve">TOTAL ESTIMATED COST (THB)</w:t>
            </w:r>
          </w:p>
        </w:tc>
        <w:tc>
          <w:tcPr/>
          <w:p>
            <w:pPr>
              <w:pStyle w:val="Compact"/>
              <w:jc w:val="left"/>
            </w:pPr>
            <w:r>
              <w:rPr>
                <w:bCs/>
                <w:b/>
              </w:rPr>
              <w:t xml:space="preserve">5,141,350</w:t>
            </w:r>
          </w:p>
        </w:tc>
        <w:tc>
          <w:tcPr/>
          <w:p>
            <w:pPr>
              <w:pStyle w:val="Compact"/>
            </w:pPr>
          </w:p>
        </w:tc>
      </w:tr>
    </w:tbl>
    <w:p>
      <w:pPr>
        <w:pStyle w:val="BodyText"/>
      </w:pPr>
      <w:r>
        <w:t xml:space="preserve">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(THB)</w:t>
            </w:r>
          </w:p>
        </w:tc>
        <w:tc>
          <w:tcPr/>
          <w:p>
            <w:pPr>
              <w:pStyle w:val="Compact"/>
              <w:jc w:val="left"/>
            </w:pPr>
            <w:r>
              <w:t xml:space="preserve">Due Date</w:t>
            </w:r>
          </w:p>
        </w:tc>
      </w:tr>
      <w:tr>
        <w:tc>
          <w:tcPr/>
          <w:p>
            <w:pPr>
              <w:pStyle w:val="Compact"/>
              <w:jc w:val="left"/>
            </w:pPr>
            <w:r>
              <w:t xml:space="preserve">Contract signing &amp; project commencement</w:t>
            </w:r>
          </w:p>
        </w:tc>
        <w:tc>
          <w:tcPr/>
          <w:p>
            <w:pPr>
              <w:pStyle w:val="Compact"/>
              <w:jc w:val="left"/>
            </w:pPr>
            <w:r>
              <w:t xml:space="preserve">30%</w:t>
            </w:r>
          </w:p>
        </w:tc>
        <w:tc>
          <w:tcPr/>
          <w:p>
            <w:pPr>
              <w:pStyle w:val="Compact"/>
              <w:jc w:val="left"/>
            </w:pPr>
            <w:r>
              <w:t xml:space="preserve">1,542,405</w:t>
            </w:r>
          </w:p>
        </w:tc>
        <w:tc>
          <w:tcPr/>
          <w:p>
            <w:pPr>
              <w:pStyle w:val="Compact"/>
              <w:jc w:val="left"/>
            </w:pPr>
            <w:r>
              <w:t xml:space="preserve">Upon signing</w:t>
            </w:r>
          </w:p>
        </w:tc>
      </w:tr>
      <w:tr>
        <w:tc>
          <w:tcPr/>
          <w:p>
            <w:pPr>
              <w:pStyle w:val="Compact"/>
              <w:jc w:val="left"/>
            </w:pPr>
            <w:r>
              <w:t xml:space="preserve">Completion of Curriculum Framework Design (Item 2)</w:t>
            </w:r>
          </w:p>
        </w:tc>
        <w:tc>
          <w:tcPr/>
          <w:p>
            <w:pPr>
              <w:pStyle w:val="Compact"/>
              <w:jc w:val="left"/>
            </w:pPr>
            <w:r>
              <w:t xml:space="preserve">25%</w:t>
            </w:r>
          </w:p>
        </w:tc>
        <w:tc>
          <w:tcPr/>
          <w:p>
            <w:pPr>
              <w:pStyle w:val="Compact"/>
              <w:jc w:val="left"/>
            </w:pPr>
            <w:r>
              <w:t xml:space="preserve">1,285,338</w:t>
            </w:r>
          </w:p>
        </w:tc>
        <w:tc>
          <w:tcPr/>
          <w:p>
            <w:pPr>
              <w:pStyle w:val="Compact"/>
              <w:jc w:val="left"/>
            </w:pPr>
            <w:r>
              <w:t xml:space="preserve">Week 8</w:t>
            </w:r>
          </w:p>
        </w:tc>
      </w:tr>
      <w:tr>
        <w:tc>
          <w:tcPr/>
          <w:p>
            <w:pPr>
              <w:pStyle w:val="Compact"/>
              <w:jc w:val="left"/>
            </w:pPr>
            <w:r>
              <w:t xml:space="preserve">Completion of Materials &amp; Assessment (Items 3–4)</w:t>
            </w:r>
          </w:p>
        </w:tc>
        <w:tc>
          <w:tcPr/>
          <w:p>
            <w:pPr>
              <w:pStyle w:val="Compact"/>
              <w:jc w:val="left"/>
            </w:pPr>
            <w:r>
              <w:t xml:space="preserve">25%</w:t>
            </w:r>
          </w:p>
        </w:tc>
        <w:tc>
          <w:tcPr/>
          <w:p>
            <w:pPr>
              <w:pStyle w:val="Compact"/>
              <w:jc w:val="left"/>
            </w:pPr>
            <w:r>
              <w:t xml:space="preserve">1,285,338</w:t>
            </w:r>
          </w:p>
        </w:tc>
        <w:tc>
          <w:tcPr/>
          <w:p>
            <w:pPr>
              <w:pStyle w:val="Compact"/>
              <w:jc w:val="left"/>
            </w:pPr>
            <w:r>
              <w:t xml:space="preserve">Week 17</w:t>
            </w:r>
          </w:p>
        </w:tc>
      </w:tr>
      <w:tr>
        <w:tc>
          <w:tcPr/>
          <w:p>
            <w:pPr>
              <w:pStyle w:val="Compact"/>
              <w:jc w:val="left"/>
            </w:pPr>
            <w:r>
              <w:t xml:space="preserve">Final handover &amp; acceptance (Items 5–8)</w:t>
            </w:r>
          </w:p>
        </w:tc>
        <w:tc>
          <w:tcPr/>
          <w:p>
            <w:pPr>
              <w:pStyle w:val="Compact"/>
              <w:jc w:val="left"/>
            </w:pPr>
            <w:r>
              <w:t xml:space="preserve">20%</w:t>
            </w:r>
          </w:p>
        </w:tc>
        <w:tc>
          <w:tcPr/>
          <w:p>
            <w:pPr>
              <w:pStyle w:val="Compact"/>
              <w:jc w:val="left"/>
            </w:pPr>
            <w:r>
              <w:t xml:space="preserve">1,028,269</w:t>
            </w:r>
          </w:p>
        </w:tc>
        <w:tc>
          <w:tcPr/>
          <w:p>
            <w:pPr>
              <w:pStyle w:val="Compact"/>
              <w:jc w:val="left"/>
            </w:pPr>
            <w:r>
              <w:t xml:space="preserve">Week 24</w:t>
            </w:r>
          </w:p>
        </w:tc>
      </w:tr>
    </w:tbl>
    <w:p>
      <w:pPr>
        <w:pStyle w:val="BodyText"/>
      </w:pPr>
      <w:r>
        <w:t xml:space="preserve">Terms and Conditions</w:t>
      </w:r>
    </w:p>
    <w:p>
      <w:pPr>
        <w:pStyle w:val="BodyText"/>
      </w:pPr>
      <w:r>
        <w:t xml:space="preserve">1. This</w:t>
      </w:r>
      <w:r>
        <w:t xml:space="preserve"> </w:t>
      </w:r>
      <w:r>
        <w:t xml:space="preserve">Quotation Estimate</w:t>
      </w:r>
      <w:r>
        <w:t xml:space="preserve"> </w:t>
      </w:r>
      <w:r>
        <w:t xml:space="preserve">is valid for thirty (30) calendar days from the date of issue. Beyond this period, pricing may be subject to revision based on market conditions in the</w:t>
      </w:r>
      <w:r>
        <w:t xml:space="preserve"> </w:t>
      </w:r>
      <w:r>
        <w:t xml:space="preserve">Thailand Bangkok</w:t>
      </w:r>
      <w:r>
        <w:t xml:space="preserve"> </w:t>
      </w:r>
      <w:r>
        <w:t xml:space="preserve">professional services sector.</w:t>
      </w:r>
    </w:p>
    <w:p>
      <w:pPr>
        <w:pStyle w:val="BodyText"/>
      </w:pPr>
      <w:r>
        <w:t xml:space="preserve">2. All rates are quoted in Thai Baht (THB) and are inclusive of the</w:t>
      </w:r>
      <w:r>
        <w:t xml:space="preserve"> </w:t>
      </w:r>
      <w:r>
        <w:t xml:space="preserve">Curriculum Developer</w:t>
      </w:r>
      <w:r>
        <w:t xml:space="preserve">'s professional expertise, travel within Bangkok metropolitan area, and standard working hours (09:00–17:00, Monday to Friday).</w:t>
      </w:r>
    </w:p>
    <w:p>
      <w:pPr>
        <w:pStyle w:val="BodyText"/>
      </w:pPr>
      <w:r>
        <w:t xml:space="preserve">3. Overtime, weekend work, or travel outside the Bangkok metropolitan area will be billed at 1.5× the standard daily rate and requires prior written approval from the client.</w:t>
      </w:r>
    </w:p>
    <w:p>
      <w:pPr>
        <w:pStyle w:val="BodyText"/>
      </w:pPr>
      <w:r>
        <w:t xml:space="preserve">4. The client shall provide all necessary access to facilities, existing curriculum documents, student data (in compliance with Thailand's Personal Data Protection Act B.E. 2562 / PDPA 2019), and administrative support required for the</w:t>
      </w:r>
      <w:r>
        <w:t xml:space="preserve"> </w:t>
      </w:r>
      <w:r>
        <w:t xml:space="preserve">Curriculum Developer</w:t>
      </w:r>
      <w:r>
        <w:t xml:space="preserve"> </w:t>
      </w:r>
      <w:r>
        <w:t xml:space="preserve">to perform the scope of work.</w:t>
      </w:r>
    </w:p>
    <w:p>
      <w:pPr>
        <w:pStyle w:val="BodyText"/>
      </w:pPr>
      <w:r>
        <w:t xml:space="preserve">5. Intellectual property of all deliverables transfers to the client upon full payment. The</w:t>
      </w:r>
      <w:r>
        <w:t xml:space="preserve"> </w:t>
      </w:r>
      <w:r>
        <w:t xml:space="preserve">Curriculum Developer</w:t>
      </w:r>
      <w:r>
        <w:t xml:space="preserve"> </w:t>
      </w:r>
      <w:r>
        <w:t xml:space="preserve">retains the right to reference the project in professional portfolios with client consent.</w:t>
      </w:r>
    </w:p>
    <w:p>
      <w:pPr>
        <w:pStyle w:val="BodyText"/>
      </w:pPr>
      <w:r>
        <w:t xml:space="preserve">6. Any changes to the scope of work must be documented in a formal Change Order signed by both parties. Adjustments to the</w:t>
      </w:r>
      <w:r>
        <w:t xml:space="preserve"> </w:t>
      </w:r>
      <w:r>
        <w:t xml:space="preserve">Quotation Estimate</w:t>
      </w:r>
      <w:r>
        <w:t xml:space="preserve"> </w:t>
      </w:r>
      <w:r>
        <w:t xml:space="preserve">will be issued within five (5) business days of the approved Change Order.</w:t>
      </w:r>
    </w:p>
    <w:p>
      <w:pPr>
        <w:pStyle w:val="BodyText"/>
      </w:pPr>
      <w:r>
        <w:t xml:space="preserve">7. Payment is due within fourteen (14) calendar days of invoice date. Late payments shall accrue interest at 1.5% per month as per Thai commercial law.</w:t>
      </w:r>
    </w:p>
    <w:p>
      <w:pPr>
        <w:pStyle w:val="BodyText"/>
      </w:pPr>
      <w:r>
        <w:t xml:space="preserve">8. This agreement is governed by the laws of the Kingdom of Thailand. Any disputes shall be resolved through the Bangkok Commercial Court or by arbitration under the Thai Arbitration Institute.</w:t>
      </w:r>
    </w:p>
    <w:p>
      <w:pPr>
        <w:pStyle w:val="BodyText"/>
      </w:pPr>
      <w:r>
        <w:t xml:space="preserve">9. The</w:t>
      </w:r>
      <w:r>
        <w:t xml:space="preserve"> </w:t>
      </w:r>
      <w:r>
        <w:t xml:space="preserve">Curriculum Developer</w:t>
      </w:r>
      <w:r>
        <w:t xml:space="preserve"> </w:t>
      </w:r>
      <w:r>
        <w:t xml:space="preserve">shall maintain professional indemnity insurance with a minimum coverage of THB 10,000,000 throughout the project duration.</w:t>
      </w:r>
    </w:p>
    <w:p>
      <w:pPr>
        <w:pStyle w:val="BodyText"/>
      </w:pPr>
      <w:r>
        <w:t xml:space="preserve">10. Force majeure events, including but not limited to natural disasters, government-mandated closures, or public health emergencies affecting the</w:t>
      </w:r>
      <w:r>
        <w:t xml:space="preserve"> </w:t>
      </w:r>
      <w:r>
        <w:t xml:space="preserve">Thailand Bangkok</w:t>
      </w:r>
      <w:r>
        <w:t xml:space="preserve"> </w:t>
      </w:r>
      <w:r>
        <w:t xml:space="preserve">region, shall extend project timelines proportionally without penalty to either party.</w:t>
      </w:r>
    </w:p>
    <w:p>
      <w:pPr>
        <w:pStyle w:val="BodyText"/>
      </w:pPr>
      <w:r>
        <w:t xml:space="preserve">Acceptance and Authorisation</w:t>
      </w:r>
    </w:p>
    <w:p>
      <w:pPr>
        <w:pStyle w:val="BodyText"/>
      </w:pPr>
      <w:r>
        <w:t xml:space="preserve">By signing below, both parties acknowledge and agree to the terms set forth in this</w:t>
      </w:r>
      <w:r>
        <w:t xml:space="preserve"> </w:t>
      </w:r>
      <w:r>
        <w:t xml:space="preserve">Quotation Estimate</w:t>
      </w:r>
      <w:r>
        <w:t xml:space="preserve"> </w:t>
      </w:r>
      <w:r>
        <w:t xml:space="preserve">for the</w:t>
      </w:r>
      <w:r>
        <w:t xml:space="preserve"> </w:t>
      </w:r>
      <w:r>
        <w:t xml:space="preserve">Curriculum Developer</w:t>
      </w:r>
      <w:r>
        <w:t xml:space="preserve"> </w:t>
      </w:r>
      <w:r>
        <w:t xml:space="preserve">services to be delivered in</w:t>
      </w:r>
      <w:r>
        <w:t xml:space="preserve"> </w:t>
      </w:r>
      <w:r>
        <w:t xml:space="preserve">Thailand Bangkok</w:t>
      </w:r>
      <w:r>
        <w:t xml:space="preserve">.</w:t>
      </w:r>
    </w:p>
    <w:p>
      <w:pPr>
        <w:pStyle w:val="BodyText"/>
      </w:pPr>
      <w:r>
        <w:rPr>
          <w:bCs/>
          <w:b/>
        </w:rPr>
        <w:t xml:space="preserve">For EdVista Learning Solutions Co., Ltd.</w:t>
      </w:r>
    </w:p>
    <w:p>
      <w:pPr>
        <w:pStyle w:val="BodyText"/>
      </w:pPr>
      <w:r>
        <w:t xml:space="preserve">Signature: ___________________________</w:t>
      </w:r>
    </w:p>
    <w:p>
      <w:pPr>
        <w:pStyle w:val="BodyText"/>
      </w:pPr>
      <w:r>
        <w:t xml:space="preserve">Name: [Authorised Signatory]</w:t>
      </w:r>
    </w:p>
    <w:p>
      <w:pPr>
        <w:pStyle w:val="BodyText"/>
      </w:pPr>
      <w:r>
        <w:t xml:space="preserve">Title: Managing Director</w:t>
      </w:r>
    </w:p>
    <w:p>
      <w:pPr>
        <w:pStyle w:val="BodyText"/>
      </w:pPr>
      <w:r>
        <w:t xml:space="preserve">Date: ___________________________</w:t>
      </w:r>
    </w:p>
    <w:p>
      <w:pPr>
        <w:pStyle w:val="BodyText"/>
      </w:pPr>
      <w:r>
        <w:rPr>
          <w:bCs/>
          <w:b/>
        </w:rPr>
        <w:t xml:space="preserve">For the Client</w:t>
      </w:r>
    </w:p>
    <w:p>
      <w:pPr>
        <w:pStyle w:val="BodyText"/>
      </w:pPr>
      <w:r>
        <w:t xml:space="preserve">Signature: ___________________________</w:t>
      </w:r>
    </w:p>
    <w:p>
      <w:pPr>
        <w:pStyle w:val="BodyText"/>
      </w:pPr>
      <w:r>
        <w:t xml:space="preserve">Name: [Client Representative]</w:t>
      </w:r>
    </w:p>
    <w:p>
      <w:pPr>
        <w:pStyle w:val="BodyText"/>
      </w:pPr>
      <w:r>
        <w:t xml:space="preserve">Title: [Position]</w:t>
      </w:r>
    </w:p>
    <w:p>
      <w:pPr>
        <w:pStyle w:val="BodyText"/>
      </w:pPr>
      <w:r>
        <w:t xml:space="preserve">Date: ___________________________</w:t>
      </w:r>
    </w:p>
    <w:p>
      <w:pPr>
        <w:pStyle w:val="BodyText"/>
      </w:pPr>
      <w:r>
        <w:t xml:space="preserve">EdVista Learning Solutions Co., Ltd. | 128 Sukhumvit Road, Khlong Toei, Bangkok 10110, Thailand</w:t>
      </w:r>
    </w:p>
    <w:p>
      <w:pPr>
        <w:pStyle w:val="BodyText"/>
      </w:pPr>
      <w:r>
        <w:t xml:space="preserve">This Quotation Estimate is a confidential document intended solely for the named client. Unauthorised reproduction or distribution is prohibited.</w:t>
      </w:r>
    </w:p>
    <w:p>
      <w:pPr>
        <w:pStyle w:val="BodyText"/>
      </w:pPr>
      <w:r>
        <w:t xml:space="preserve">Document Ref: QE-2025-BKK-0472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Curriculum Developer Services - Thailand Bangkok</dc:title>
  <dc:creator/>
  <dc:language>en</dc:language>
  <cp:keywords/>
  <dcterms:created xsi:type="dcterms:W3CDTF">2026-10-10T03:35:56Z</dcterms:created>
  <dcterms:modified xsi:type="dcterms:W3CDTF">2026-10-10T03:35:56Z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