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edustrategic-consulting-llc"/>
    <w:p>
      <w:pPr>
        <w:pStyle w:val="Heading1"/>
      </w:pPr>
      <w:r>
        <w:t xml:space="preserve">EDUSTRATEGIC CONSULTING LLC</w:t>
      </w:r>
    </w:p>
    <w:p>
      <w:pPr>
        <w:pStyle w:val="FirstParagraph"/>
      </w:pPr>
      <w:r>
        <w:t xml:space="preserve">Office 1204, Level 12, Business Bay Tower, Business Bay, United Arab Emirates Dubai, 45422</w:t>
      </w:r>
    </w:p>
    <w:p>
      <w:pPr>
        <w:pStyle w:val="BodyText"/>
      </w:pPr>
      <w:r>
        <w:t xml:space="preserve">Tel: +971 4 555 0198 | Email: quotations@edustrategic.ae | TRN: 100234567800003</w:t>
      </w:r>
    </w:p>
    <w:bookmarkEnd w:id="20"/>
    <w:bookmarkStart w:id="21" w:name="quotation-estimate"/>
    <w:p>
      <w:pPr>
        <w:pStyle w:val="Heading2"/>
      </w:pPr>
      <w:r>
        <w:t xml:space="preserve">QUOTATION ESTIMATE</w:t>
      </w:r>
    </w:p>
    <w:p>
      <w:pPr>
        <w:pStyle w:val="FirstParagraph"/>
      </w:pPr>
      <w:r>
        <w:rPr>
          <w:bCs/>
          <w:b/>
        </w:rPr>
        <w:t xml:space="preserve">Quotation No.:</w:t>
      </w:r>
      <w:r>
        <w:t xml:space="preserve"> </w:t>
      </w:r>
      <w:r>
        <w:t xml:space="preserve">QE-2025-04871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bookmarkEnd w:id="21"/>
    <w:p>
      <w:pPr>
        <w:pStyle w:val="BodyText"/>
      </w:pPr>
      <w:r>
        <w:rPr>
          <w:bCs/>
          <w:b/>
        </w:rPr>
        <w:t xml:space="preserve">Prepared For:</w:t>
      </w:r>
    </w:p>
    <w:p>
      <w:pPr>
        <w:pStyle w:val="BodyText"/>
      </w:pPr>
      <w:r>
        <w:t xml:space="preserve">Al Noor International Academy</w:t>
      </w:r>
    </w:p>
    <w:p>
      <w:pPr>
        <w:pStyle w:val="BodyText"/>
      </w:pPr>
      <w:r>
        <w:t xml:space="preserve">Jumeirah District, United Arab Emirates Dubai</w:t>
      </w:r>
    </w:p>
    <w:p>
      <w:pPr>
        <w:pStyle w:val="BodyText"/>
      </w:pPr>
      <w:r>
        <w:t xml:space="preserve">Attn: Dr. Fatima Al Mansoori, Director of Academics</w:t>
      </w:r>
    </w:p>
    <w:bookmarkStart w:id="22" w:name="purpose-of-this-quotation-estimate"/>
    <w:p>
      <w:pPr>
        <w:pStyle w:val="Heading3"/>
      </w:pPr>
      <w:r>
        <w:t xml:space="preserve">1. PURPOSE OF THIS QUOTATION ESTIMATE</w:t>
      </w:r>
    </w:p>
    <w:p>
      <w:pPr>
        <w:pStyle w:val="FirstParagraph"/>
      </w:pPr>
      <w:r>
        <w:t xml:space="preserve">This Quotation Estimate is issued by EduStrategic Consulting LLC to provide a comprehensive, itemized financial proposal for the engagement of a specialized Curriculum Developer to design, develop, and implement a full academic curriculum framework for Al Noor International Academy. This Quotation Estimate covers all professional services, materials, and deliverables associated with the Curriculum Developer role over a twelve-month engagement period in the United Arab Emirates Dubai educational sector. All pricing in this Quotation Estimate is denominated in United Arab Emirates Dirhams (AED) and is inclusive of applicable Value Added Tax (VAT) at the prevailing rate of 5% as mandated by the Federal Tax Authority of the United Arab Emirates.</w:t>
      </w:r>
    </w:p>
    <w:bookmarkEnd w:id="22"/>
    <w:bookmarkStart w:id="23" w:name="X7be7f6b5f7b0e2fcf46ebd3c90b7fd09da36920"/>
    <w:p>
      <w:pPr>
        <w:pStyle w:val="Heading3"/>
      </w:pPr>
      <w:r>
        <w:t xml:space="preserve">2. SCOPE OF SERVICES – CURRICULUM DEVELOPER ENGAGEMENT</w:t>
      </w:r>
    </w:p>
    <w:p>
      <w:pPr>
        <w:pStyle w:val="FirstParagraph"/>
      </w:pPr>
      <w:r>
        <w:t xml:space="preserve">The Curriculum Developer engaged under this Quotation Estimate shall be responsible for the following core deliverables and professional activities:</w:t>
      </w:r>
    </w:p>
    <w:p>
      <w:pPr>
        <w:numPr>
          <w:ilvl w:val="0"/>
          <w:numId w:val="1001"/>
        </w:numPr>
        <w:pStyle w:val="Compact"/>
      </w:pPr>
      <w:r>
        <w:rPr>
          <w:bCs/>
          <w:b/>
        </w:rPr>
        <w:t xml:space="preserve">Curriculum Design &amp; Architecture:</w:t>
      </w:r>
      <w:r>
        <w:t xml:space="preserve"> </w:t>
      </w:r>
      <w:r>
        <w:t xml:space="preserve">Development of a comprehensive K-12 curriculum aligned with the UAE National Curriculum Standards, the Cambridge International Assessment framework, and the IB (International Baccalaureate) guidelines as applicable to the institution's accreditation requirements in United Arab Emirates Dubai.</w:t>
      </w:r>
    </w:p>
    <w:p>
      <w:pPr>
        <w:numPr>
          <w:ilvl w:val="0"/>
          <w:numId w:val="1001"/>
        </w:numPr>
        <w:pStyle w:val="Compact"/>
      </w:pPr>
      <w:r>
        <w:rPr>
          <w:bCs/>
          <w:b/>
        </w:rPr>
        <w:t xml:space="preserve">Learning Objectives &amp; Assessment Framework:</w:t>
      </w:r>
      <w:r>
        <w:t xml:space="preserve"> </w:t>
      </w:r>
      <w:r>
        <w:t xml:space="preserve">Formulation of measurable learning objectives, competency-based assessment rubrics, and standardized evaluation protocols for all subject areas including Mathematics, Science, English Language, Arabic, Social Studies, and Creative Arts.</w:t>
      </w:r>
    </w:p>
    <w:p>
      <w:pPr>
        <w:numPr>
          <w:ilvl w:val="0"/>
          <w:numId w:val="1001"/>
        </w:numPr>
        <w:pStyle w:val="Compact"/>
      </w:pPr>
      <w:r>
        <w:rPr>
          <w:bCs/>
          <w:b/>
        </w:rPr>
        <w:t xml:space="preserve">Teaching &amp; Learning Resources:</w:t>
      </w:r>
      <w:r>
        <w:t xml:space="preserve"> </w:t>
      </w:r>
      <w:r>
        <w:t xml:space="preserve">Creation of teacher guides, student workbooks, digital learning modules, and supplementary instructional materials tailored to the multicultural student body of the United Arab Emirates Dubai region.</w:t>
      </w:r>
    </w:p>
    <w:p>
      <w:pPr>
        <w:numPr>
          <w:ilvl w:val="0"/>
          <w:numId w:val="1001"/>
        </w:numPr>
        <w:pStyle w:val="Compact"/>
      </w:pPr>
      <w:r>
        <w:rPr>
          <w:bCs/>
          <w:b/>
        </w:rPr>
        <w:t xml:space="preserve">Professional Development Workshops:</w:t>
      </w:r>
      <w:r>
        <w:t xml:space="preserve"> </w:t>
      </w:r>
      <w:r>
        <w:t xml:space="preserve">Delivery of a minimum of eight (8) in-person training workshops per academic term for faculty members to ensure effective implementation of the new Curriculum Developer-designed framework.</w:t>
      </w:r>
    </w:p>
    <w:p>
      <w:pPr>
        <w:numPr>
          <w:ilvl w:val="0"/>
          <w:numId w:val="1001"/>
        </w:numPr>
        <w:pStyle w:val="Compact"/>
      </w:pPr>
      <w:r>
        <w:rPr>
          <w:bCs/>
          <w:b/>
        </w:rPr>
        <w:t xml:space="preserve">Quality Assurance &amp; Review Cycles:</w:t>
      </w:r>
      <w:r>
        <w:t xml:space="preserve"> </w:t>
      </w:r>
      <w:r>
        <w:t xml:space="preserve">Conducting bi-annual curriculum audits, stakeholder feedback sessions, and iterative revision cycles to maintain academic excellence and regulatory compliance with the Knowledge and Human Development Authority (KHDA) of United Arab Emirates Dubai.</w:t>
      </w:r>
    </w:p>
    <w:p>
      <w:pPr>
        <w:numPr>
          <w:ilvl w:val="0"/>
          <w:numId w:val="1001"/>
        </w:numPr>
        <w:pStyle w:val="Compact"/>
      </w:pPr>
      <w:r>
        <w:rPr>
          <w:bCs/>
          <w:b/>
        </w:rPr>
        <w:t xml:space="preserve">Technology Integration:</w:t>
      </w:r>
      <w:r>
        <w:t xml:space="preserve"> </w:t>
      </w:r>
      <w:r>
        <w:t xml:space="preserve">Designing blended-learning pathways and integrating adaptive learning platforms into the Curriculum Developer's instructional design to support both in-person and remote learning modalities.</w:t>
      </w:r>
    </w:p>
    <w:bookmarkEnd w:id="23"/>
    <w:bookmarkStart w:id="24" w:name="itemized-cost-breakdown"/>
    <w:p>
      <w:pPr>
        <w:pStyle w:val="Heading3"/>
      </w:pPr>
      <w:r>
        <w:t xml:space="preserve">3. ITEMIZED COST BREAKDOWN</w:t>
      </w:r>
    </w:p>
    <w:tbl>
      <w:tblPr>
        <w:tblStyle w:val="Table"/>
        <w:tblW w:type="auto" w:w="0"/>
        <w:tblLook w:firstRow="1" w:lastRow="1"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Curriculum Developer Service</w:t>
            </w:r>
          </w:p>
        </w:tc>
        <w:tc>
          <w:tcPr/>
          <w:p>
            <w:pPr>
              <w:pStyle w:val="Compact"/>
              <w:jc w:val="center"/>
            </w:pPr>
            <w:r>
              <w:t xml:space="preserve">Duration</w:t>
            </w:r>
          </w:p>
        </w:tc>
        <w:tc>
          <w:tcPr/>
          <w:p>
            <w:pPr>
              <w:pStyle w:val="Compact"/>
              <w:jc w:val="right"/>
            </w:pPr>
            <w:r>
              <w:t xml:space="preserve">Amount (AED)</w:t>
            </w:r>
          </w:p>
        </w:tc>
      </w:tr>
      <w:tr>
        <w:tc>
          <w:tcPr/>
          <w:p>
            <w:pPr>
              <w:pStyle w:val="Compact"/>
              <w:jc w:val="left"/>
            </w:pPr>
            <w:r>
              <w:t xml:space="preserve">01</w:t>
            </w:r>
          </w:p>
        </w:tc>
        <w:tc>
          <w:tcPr/>
          <w:p>
            <w:pPr>
              <w:pStyle w:val="Compact"/>
              <w:jc w:val="left"/>
            </w:pPr>
            <w:r>
              <w:t xml:space="preserve">Initial Needs Assessment &amp; Curriculum Gap Analysis (United Arab Emirates Dubai context)</w:t>
            </w:r>
          </w:p>
        </w:tc>
        <w:tc>
          <w:tcPr/>
          <w:p>
            <w:pPr>
              <w:pStyle w:val="Compact"/>
              <w:jc w:val="center"/>
            </w:pPr>
            <w:r>
              <w:t xml:space="preserve">Month 1</w:t>
            </w:r>
          </w:p>
        </w:tc>
        <w:tc>
          <w:tcPr/>
          <w:p>
            <w:pPr>
              <w:pStyle w:val="Compact"/>
              <w:jc w:val="right"/>
            </w:pPr>
            <w:r>
              <w:t xml:space="preserve">45,000.00</w:t>
            </w:r>
          </w:p>
        </w:tc>
      </w:tr>
      <w:tr>
        <w:tc>
          <w:tcPr/>
          <w:p>
            <w:pPr>
              <w:pStyle w:val="Compact"/>
              <w:jc w:val="left"/>
            </w:pPr>
            <w:r>
              <w:t xml:space="preserve">02</w:t>
            </w:r>
          </w:p>
        </w:tc>
        <w:tc>
          <w:tcPr/>
          <w:p>
            <w:pPr>
              <w:pStyle w:val="Compact"/>
              <w:jc w:val="left"/>
            </w:pPr>
            <w:r>
              <w:t xml:space="preserve">Full Curriculum Framework Design (K-12, all subject areas)</w:t>
            </w:r>
          </w:p>
        </w:tc>
        <w:tc>
          <w:tcPr/>
          <w:p>
            <w:pPr>
              <w:pStyle w:val="Compact"/>
              <w:jc w:val="center"/>
            </w:pPr>
            <w:r>
              <w:t xml:space="preserve">Months 2–4</w:t>
            </w:r>
          </w:p>
        </w:tc>
        <w:tc>
          <w:tcPr/>
          <w:p>
            <w:pPr>
              <w:pStyle w:val="Compact"/>
              <w:jc w:val="right"/>
            </w:pPr>
            <w:r>
              <w:t xml:space="preserve">185,000.00</w:t>
            </w:r>
          </w:p>
        </w:tc>
      </w:tr>
      <w:tr>
        <w:tc>
          <w:tcPr/>
          <w:p>
            <w:pPr>
              <w:pStyle w:val="Compact"/>
              <w:jc w:val="left"/>
            </w:pPr>
            <w:r>
              <w:t xml:space="preserve">03</w:t>
            </w:r>
          </w:p>
        </w:tc>
        <w:tc>
          <w:tcPr/>
          <w:p>
            <w:pPr>
              <w:pStyle w:val="Compact"/>
              <w:jc w:val="left"/>
            </w:pPr>
            <w:r>
              <w:t xml:space="preserve">Development of Teaching Resources, Workbooks &amp; Digital Modules</w:t>
            </w:r>
          </w:p>
        </w:tc>
        <w:tc>
          <w:tcPr/>
          <w:p>
            <w:pPr>
              <w:pStyle w:val="Compact"/>
              <w:jc w:val="center"/>
            </w:pPr>
            <w:r>
              <w:t xml:space="preserve">Months 4–7</w:t>
            </w:r>
          </w:p>
        </w:tc>
        <w:tc>
          <w:tcPr/>
          <w:p>
            <w:pPr>
              <w:pStyle w:val="Compact"/>
              <w:jc w:val="right"/>
            </w:pPr>
            <w:r>
              <w:t xml:space="preserve">120,000.00</w:t>
            </w:r>
          </w:p>
        </w:tc>
      </w:tr>
      <w:tr>
        <w:tc>
          <w:tcPr/>
          <w:p>
            <w:pPr>
              <w:pStyle w:val="Compact"/>
              <w:jc w:val="left"/>
            </w:pPr>
            <w:r>
              <w:t xml:space="preserve">04</w:t>
            </w:r>
          </w:p>
        </w:tc>
        <w:tc>
          <w:tcPr/>
          <w:p>
            <w:pPr>
              <w:pStyle w:val="Compact"/>
              <w:jc w:val="left"/>
            </w:pPr>
            <w:r>
              <w:t xml:space="preserve">Faculty Training &amp; Professional Development Workshops (8 sessions)</w:t>
            </w:r>
          </w:p>
        </w:tc>
        <w:tc>
          <w:tcPr/>
          <w:p>
            <w:pPr>
              <w:pStyle w:val="Compact"/>
              <w:jc w:val="center"/>
            </w:pPr>
            <w:r>
              <w:t xml:space="preserve">Months 7–9</w:t>
            </w:r>
          </w:p>
        </w:tc>
        <w:tc>
          <w:tcPr/>
          <w:p>
            <w:pPr>
              <w:pStyle w:val="Compact"/>
              <w:jc w:val="right"/>
            </w:pPr>
            <w:r>
              <w:t xml:space="preserve">64,000.00</w:t>
            </w:r>
          </w:p>
        </w:tc>
      </w:tr>
      <w:tr>
        <w:tc>
          <w:tcPr/>
          <w:p>
            <w:pPr>
              <w:pStyle w:val="Compact"/>
              <w:jc w:val="left"/>
            </w:pPr>
            <w:r>
              <w:t xml:space="preserve">05</w:t>
            </w:r>
          </w:p>
        </w:tc>
        <w:tc>
          <w:tcPr/>
          <w:p>
            <w:pPr>
              <w:pStyle w:val="Compact"/>
              <w:jc w:val="left"/>
            </w:pPr>
            <w:r>
              <w:t xml:space="preserve">Pilot Implementation, Monitoring &amp; Iterative Refinement</w:t>
            </w:r>
          </w:p>
        </w:tc>
        <w:tc>
          <w:tcPr/>
          <w:p>
            <w:pPr>
              <w:pStyle w:val="Compact"/>
              <w:jc w:val="center"/>
            </w:pPr>
            <w:r>
              <w:t xml:space="preserve">Months 9–11</w:t>
            </w:r>
          </w:p>
        </w:tc>
        <w:tc>
          <w:tcPr/>
          <w:p>
            <w:pPr>
              <w:pStyle w:val="Compact"/>
              <w:jc w:val="right"/>
            </w:pPr>
            <w:r>
              <w:t xml:space="preserve">55,000.00</w:t>
            </w:r>
          </w:p>
        </w:tc>
      </w:tr>
      <w:tr>
        <w:tc>
          <w:tcPr/>
          <w:p>
            <w:pPr>
              <w:pStyle w:val="Compact"/>
              <w:jc w:val="left"/>
            </w:pPr>
            <w:r>
              <w:t xml:space="preserve">06</w:t>
            </w:r>
          </w:p>
        </w:tc>
        <w:tc>
          <w:tcPr/>
          <w:p>
            <w:pPr>
              <w:pStyle w:val="Compact"/>
              <w:jc w:val="left"/>
            </w:pPr>
            <w:r>
              <w:t xml:space="preserve">Final Quality Assurance Audit, KHDA Compliance Review &amp; Handover Documentation</w:t>
            </w:r>
          </w:p>
        </w:tc>
        <w:tc>
          <w:tcPr/>
          <w:p>
            <w:pPr>
              <w:pStyle w:val="Compact"/>
              <w:jc w:val="center"/>
            </w:pPr>
            <w:r>
              <w:t xml:space="preserve">Month 12</w:t>
            </w:r>
          </w:p>
        </w:tc>
        <w:tc>
          <w:tcPr/>
          <w:p>
            <w:pPr>
              <w:pStyle w:val="Compact"/>
              <w:jc w:val="right"/>
            </w:pPr>
            <w:r>
              <w:t xml:space="preserve">38,000.00</w:t>
            </w:r>
          </w:p>
        </w:tc>
      </w:tr>
      <w:tr>
        <w:tc>
          <w:tcPr>
            <w:gridSpan w:val="3"/>
          </w:tcPr>
          <w:p>
            <w:pPr>
              <w:pStyle w:val="Compact"/>
              <w:jc w:val="right"/>
            </w:pPr>
            <w:r>
              <w:t xml:space="preserve">Subtotal (Excl. VAT)</w:t>
            </w:r>
          </w:p>
        </w:tc>
        <w:tc>
          <w:tcPr/>
          <w:p>
            <w:pPr>
              <w:pStyle w:val="Compact"/>
              <w:jc w:val="right"/>
            </w:pPr>
            <w:r>
              <w:t xml:space="preserve">507,000.00</w:t>
            </w:r>
          </w:p>
        </w:tc>
      </w:tr>
      <w:tr>
        <w:tc>
          <w:tcPr>
            <w:gridSpan w:val="3"/>
          </w:tcPr>
          <w:p>
            <w:pPr>
              <w:pStyle w:val="Compact"/>
              <w:jc w:val="right"/>
            </w:pPr>
            <w:r>
              <w:t xml:space="preserve">VAT @ 5% (UAE Federal Tax Authority)</w:t>
            </w:r>
          </w:p>
        </w:tc>
        <w:tc>
          <w:tcPr/>
          <w:p>
            <w:pPr>
              <w:pStyle w:val="Compact"/>
              <w:jc w:val="right"/>
            </w:pPr>
            <w:r>
              <w:t xml:space="preserve">25,350.00</w:t>
            </w:r>
          </w:p>
        </w:tc>
      </w:tr>
      <w:tr>
        <w:tc>
          <w:tcPr>
            <w:gridSpan w:val="3"/>
          </w:tcPr>
          <w:p>
            <w:pPr>
              <w:pStyle w:val="Compact"/>
              <w:jc w:val="right"/>
            </w:pPr>
            <w:r>
              <w:t xml:space="preserve">TOTAL AMOUNT DUE (Incl. VAT)</w:t>
            </w:r>
          </w:p>
        </w:tc>
        <w:tc>
          <w:tcPr/>
          <w:p>
            <w:pPr>
              <w:pStyle w:val="Compact"/>
              <w:jc w:val="right"/>
            </w:pPr>
            <w:r>
              <w:t xml:space="preserve">532,350.00 AED</w:t>
            </w:r>
          </w:p>
        </w:tc>
      </w:tr>
    </w:tbl>
    <w:bookmarkEnd w:id="24"/>
    <w:bookmarkStart w:id="25" w:name="payment-terms-schedule"/>
    <w:p>
      <w:pPr>
        <w:pStyle w:val="Heading3"/>
      </w:pPr>
      <w:r>
        <w:t xml:space="preserve">4. PAYMENT TERMS &amp; SCHEDULE</w:t>
      </w:r>
    </w:p>
    <w:p>
      <w:pPr>
        <w:pStyle w:val="FirstParagraph"/>
      </w:pPr>
      <w:r>
        <w:t xml:space="preserve">As outlined in this Quotation Estimate, payment for the Curriculum Developer engagement shall be structured as follows:</w:t>
      </w:r>
    </w:p>
    <w:p>
      <w:pPr>
        <w:numPr>
          <w:ilvl w:val="0"/>
          <w:numId w:val="1002"/>
        </w:numPr>
        <w:pStyle w:val="Compact"/>
      </w:pPr>
      <w:r>
        <w:rPr>
          <w:bCs/>
          <w:b/>
        </w:rPr>
        <w:t xml:space="preserve">Advance Payment (30%):</w:t>
      </w:r>
      <w:r>
        <w:t xml:space="preserve"> </w:t>
      </w:r>
      <w:r>
        <w:t xml:space="preserve">AED 159,705.00 – Due upon signed acceptance of this Quotation Estimate and execution of the Master Service Agreement.</w:t>
      </w:r>
    </w:p>
    <w:p>
      <w:pPr>
        <w:numPr>
          <w:ilvl w:val="0"/>
          <w:numId w:val="1002"/>
        </w:numPr>
        <w:pStyle w:val="Compact"/>
      </w:pPr>
      <w:r>
        <w:rPr>
          <w:bCs/>
          <w:b/>
        </w:rPr>
        <w:t xml:space="preserve">Milestone Payment 1 (25%):</w:t>
      </w:r>
      <w:r>
        <w:t xml:space="preserve"> </w:t>
      </w:r>
      <w:r>
        <w:t xml:space="preserve">AED 133,087.50 – Due upon completion and client approval of the Curriculum Framework Design (Item 02).</w:t>
      </w:r>
    </w:p>
    <w:p>
      <w:pPr>
        <w:numPr>
          <w:ilvl w:val="0"/>
          <w:numId w:val="1002"/>
        </w:numPr>
        <w:pStyle w:val="Compact"/>
      </w:pPr>
      <w:r>
        <w:rPr>
          <w:bCs/>
          <w:b/>
        </w:rPr>
        <w:t xml:space="preserve">Milestone Payment 2 (25%):</w:t>
      </w:r>
      <w:r>
        <w:t xml:space="preserve"> </w:t>
      </w:r>
      <w:r>
        <w:t xml:space="preserve">AED 133,087.50 – Due upon delivery of all Teaching Resources and completion of Faculty Training (Items 03 &amp; 04).</w:t>
      </w:r>
    </w:p>
    <w:p>
      <w:pPr>
        <w:numPr>
          <w:ilvl w:val="0"/>
          <w:numId w:val="1002"/>
        </w:numPr>
        <w:pStyle w:val="Compact"/>
      </w:pPr>
      <w:r>
        <w:rPr>
          <w:bCs/>
          <w:b/>
        </w:rPr>
        <w:t xml:space="preserve">Final Payment (20%):</w:t>
      </w:r>
      <w:r>
        <w:t xml:space="preserve"> </w:t>
      </w:r>
      <w:r>
        <w:t xml:space="preserve">AED 106,470.00 – Due upon successful completion of the Final QA Audit and formal handover (Items 05 &amp; 06).</w:t>
      </w:r>
    </w:p>
    <w:p>
      <w:pPr>
        <w:pStyle w:val="FirstParagraph"/>
      </w:pPr>
      <w:r>
        <w:t xml:space="preserve">All payments shall be made via bank transfer to the account of EduStrategic Consulting LLC, Dubai Islamic Bank, United Arab Emirates Dubai, Account No. 002-1145-8876-001, SWIFT: ISLB AE DJ. Invoices shall be issued in accordance with the UAE Federal Tax Authority e-invoicing requirements.</w:t>
      </w:r>
    </w:p>
    <w:bookmarkEnd w:id="25"/>
    <w:bookmarkStart w:id="26" w:name="terms-and-conditions"/>
    <w:p>
      <w:pPr>
        <w:pStyle w:val="Heading3"/>
      </w:pPr>
      <w:r>
        <w:t xml:space="preserve">5. TERMS AND CONDITIONS</w:t>
      </w:r>
    </w:p>
    <w:p>
      <w:pPr>
        <w:numPr>
          <w:ilvl w:val="0"/>
          <w:numId w:val="1003"/>
        </w:numPr>
        <w:pStyle w:val="Compact"/>
      </w:pPr>
      <w:r>
        <w:t xml:space="preserve">This Quotation Estimate is valid for thirty (30) calendar days from the date of issue. Beyond this period, pricing for the Curriculum Developer services may be subject to revision based on market conditions in United Arab Emirates Dubai.</w:t>
      </w:r>
    </w:p>
    <w:p>
      <w:pPr>
        <w:numPr>
          <w:ilvl w:val="0"/>
          <w:numId w:val="1003"/>
        </w:numPr>
        <w:pStyle w:val="Compact"/>
      </w:pPr>
      <w:r>
        <w:t xml:space="preserve">The Curriculum Developer assigned to this project shall hold a minimum of a Master's degree in Curriculum &amp; Instructional Design and possess no fewer than ten (10) years of experience in K-12 curriculum development within the UAE or equivalent international educational frameworks.</w:t>
      </w:r>
    </w:p>
    <w:p>
      <w:pPr>
        <w:numPr>
          <w:ilvl w:val="0"/>
          <w:numId w:val="1003"/>
        </w:numPr>
        <w:pStyle w:val="Compact"/>
      </w:pPr>
      <w:r>
        <w:t xml:space="preserve">All intellectual property rights in the curriculum materials, frameworks, and resources developed under this engagement shall transfer to Al Noor International Academy upon full and final payment.</w:t>
      </w:r>
    </w:p>
    <w:p>
      <w:pPr>
        <w:numPr>
          <w:ilvl w:val="0"/>
          <w:numId w:val="1003"/>
        </w:numPr>
        <w:pStyle w:val="Compact"/>
      </w:pPr>
      <w:r>
        <w:t xml:space="preserve">EduStrategic Consulting LLC reserves the right to substitute the assigned Curriculum Developer with a professional of equivalent or superior qualifications, subject to prior written notification to the client.</w:t>
      </w:r>
    </w:p>
    <w:p>
      <w:pPr>
        <w:numPr>
          <w:ilvl w:val="0"/>
          <w:numId w:val="1003"/>
        </w:numPr>
        <w:pStyle w:val="Compact"/>
      </w:pPr>
      <w:r>
        <w:t xml:space="preserve">This Quotation Estimate does not constitute a binding contract until both parties have executed the formal Master Service Agreement. All terms herein are subject to the laws of the United Arab Emirates and the jurisdiction of the courts of Dubai.</w:t>
      </w:r>
    </w:p>
    <w:p>
      <w:pPr>
        <w:numPr>
          <w:ilvl w:val="0"/>
          <w:numId w:val="1003"/>
        </w:numPr>
        <w:pStyle w:val="Compact"/>
      </w:pPr>
      <w:r>
        <w:t xml:space="preserve">Any changes to the scope of work beyond what is described in this Quotation Estimate shall be subject to a separate change-order Quotation Estimate and mutual written agreement.</w:t>
      </w:r>
    </w:p>
    <w:p>
      <w:pPr>
        <w:numPr>
          <w:ilvl w:val="0"/>
          <w:numId w:val="1003"/>
        </w:numPr>
        <w:pStyle w:val="Compact"/>
      </w:pPr>
      <w:r>
        <w:t xml:space="preserve">Confidentiality: All proprietary information exchanged during the Curriculum Developer engagement shall be protected under a mutual Non-Disclosure Agreement (NDA) to be executed concurrently with the Master Service Agreement.</w:t>
      </w:r>
    </w:p>
    <w:bookmarkEnd w:id="26"/>
    <w:bookmarkStart w:id="27" w:name="acceptance"/>
    <w:p>
      <w:pPr>
        <w:pStyle w:val="Heading3"/>
      </w:pPr>
      <w:r>
        <w:t xml:space="preserve">6. ACCEPTANCE</w:t>
      </w:r>
    </w:p>
    <w:p>
      <w:pPr>
        <w:pStyle w:val="FirstParagraph"/>
      </w:pPr>
      <w:r>
        <w:t xml:space="preserve">By signing below, the client acknowledges receipt of this Quotation Estimate and agrees to the terms, conditions, and pricing outlined herein for the Curriculum Developer services in United Arab Emirates Dubai.</w:t>
      </w:r>
    </w:p>
    <w:p>
      <w:pPr>
        <w:pStyle w:val="BodyText"/>
      </w:pPr>
      <w:r>
        <w:t xml:space="preserve">For and on behalf of</w:t>
      </w:r>
      <w:r>
        <w:t xml:space="preserve"> </w:t>
      </w:r>
      <w:r>
        <w:rPr>
          <w:bCs/>
          <w:b/>
        </w:rPr>
        <w:t xml:space="preserve">EduStrategic Consulting LLC</w:t>
      </w:r>
    </w:p>
    <w:p>
      <w:pPr>
        <w:pStyle w:val="BodyText"/>
      </w:pPr>
      <w:r>
        <w:t xml:space="preserve">Name: Mr. Khalid Al Rashidi</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For and on behalf of</w:t>
      </w:r>
      <w:r>
        <w:t xml:space="preserve"> </w:t>
      </w:r>
      <w:r>
        <w:rPr>
          <w:bCs/>
          <w:b/>
        </w:rPr>
        <w:t xml:space="preserve">Al Noor International Academy</w:t>
      </w:r>
    </w:p>
    <w:p>
      <w:pPr>
        <w:pStyle w:val="BodyText"/>
      </w:pPr>
      <w:r>
        <w:t xml:space="preserve">Name: Dr. Fatima Al Mansoori</w:t>
      </w:r>
    </w:p>
    <w:p>
      <w:pPr>
        <w:pStyle w:val="BodyText"/>
      </w:pPr>
      <w:r>
        <w:t xml:space="preserve">Title: Director of Academics</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was prepared exclusively for Al Noor International Academy, United Arab Emirates Dubai. It is not transferable and may not be reproduced without written consent from EduStrategic Consulting LLC. Document Reference: QE-2025-04871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United Arab Emirates Dubai</dc:title>
  <dc:creator/>
  <dc:language>en</dc:language>
  <cp:keywords/>
  <dcterms:created xsi:type="dcterms:W3CDTF">2026-10-10T04:32:38Z</dcterms:created>
  <dcterms:modified xsi:type="dcterms:W3CDTF">2026-10-10T04:32:38Z</dcterms:modified>
</cp:coreProperties>
</file>

<file path=docProps/custom.xml><?xml version="1.0" encoding="utf-8"?>
<Properties xmlns="http://schemas.openxmlformats.org/officeDocument/2006/custom-properties" xmlns:vt="http://schemas.openxmlformats.org/officeDocument/2006/docPropsVTypes"/>
</file>