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Australia</w:t>
      </w:r>
      <w:r>
        <w:t xml:space="preserve"> </w:t>
      </w:r>
      <w:r>
        <w:t xml:space="preserve">Brisbane</w:t>
      </w:r>
    </w:p>
    <w:bookmarkStart w:id="20" w:name="quotation-estimate"/>
    <w:p>
      <w:pPr>
        <w:pStyle w:val="Heading1"/>
      </w:pPr>
      <w:r>
        <w:t xml:space="preserve">QUOTATION ESTIMATE</w:t>
      </w:r>
    </w:p>
    <w:p>
      <w:pPr>
        <w:pStyle w:val="FirstParagraph"/>
      </w:pPr>
      <w:r>
        <w:rPr>
          <w:bCs/>
          <w:b/>
        </w:rPr>
        <w:t xml:space="preserve">Customs Officer Services &amp; Trade Compliance Consulting</w:t>
      </w:r>
    </w:p>
    <w:p>
      <w:pPr>
        <w:pStyle w:val="BodyText"/>
      </w:pPr>
      <w:r>
        <w:t xml:space="preserve">Prepared for clients operating in</w:t>
      </w:r>
      <w:r>
        <w:t xml:space="preserve"> </w:t>
      </w:r>
      <w:r>
        <w:rPr>
          <w:bCs/>
          <w:b/>
        </w:rPr>
        <w:t xml:space="preserve">Australia Brisbane</w:t>
      </w:r>
      <w:r>
        <w:t xml:space="preserve"> </w:t>
      </w:r>
      <w:r>
        <w:t xml:space="preserve">and surrounding Queensland regions</w:t>
      </w:r>
    </w:p>
    <w:p>
      <w:pPr>
        <w:pStyle w:val="BodyText"/>
      </w:pPr>
      <w:r>
        <w:t xml:space="preserve">Document Reference: QE-CO-BNE-2025-0417</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QE-CO-BNE-2025-0417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By</w:t>
            </w:r>
          </w:p>
        </w:tc>
        <w:tc>
          <w:tcPr/>
          <w:p>
            <w:pPr>
              <w:pStyle w:val="Compact"/>
              <w:jc w:val="left"/>
            </w:pPr>
            <w:r>
              <w:t xml:space="preserve">Marine &amp; Trade Compliance Solutions Pty Ltd, ABN 48 217 639 041</w:t>
            </w:r>
          </w:p>
        </w:tc>
      </w:tr>
      <w:tr>
        <w:tc>
          <w:tcPr/>
          <w:p>
            <w:pPr>
              <w:pStyle w:val="Compact"/>
              <w:jc w:val="left"/>
            </w:pPr>
            <w:r>
              <w:t xml:space="preserve">Service Location</w:t>
            </w:r>
          </w:p>
        </w:tc>
        <w:tc>
          <w:tcPr/>
          <w:p>
            <w:pPr>
              <w:pStyle w:val="Compact"/>
              <w:jc w:val="left"/>
            </w:pPr>
            <w:r>
              <w:t xml:space="preserve">Australia Brisbane – Port of Brisbane, Brisbane Airport, and Inland Cargo Facilities</w:t>
            </w:r>
          </w:p>
        </w:tc>
      </w:tr>
      <w:tr>
        <w:tc>
          <w:tcPr/>
          <w:p>
            <w:pPr>
              <w:pStyle w:val="Compact"/>
              <w:jc w:val="left"/>
            </w:pPr>
            <w:r>
              <w:t xml:space="preserve">Client Name</w:t>
            </w:r>
          </w:p>
        </w:tc>
        <w:tc>
          <w:tcPr/>
          <w:p>
            <w:pPr>
              <w:pStyle w:val="Compact"/>
              <w:jc w:val="left"/>
            </w:pPr>
            <w:r>
              <w:t xml:space="preserve">[Client Company Name]</w:t>
            </w:r>
          </w:p>
        </w:tc>
      </w:tr>
      <w:tr>
        <w:tc>
          <w:tcPr/>
          <w:p>
            <w:pPr>
              <w:pStyle w:val="Compact"/>
              <w:jc w:val="left"/>
            </w:pPr>
            <w:r>
              <w:t xml:space="preserve">Client Address</w:t>
            </w:r>
          </w:p>
        </w:tc>
        <w:tc>
          <w:tcPr/>
          <w:p>
            <w:pPr>
              <w:pStyle w:val="Compact"/>
              <w:jc w:val="left"/>
            </w:pPr>
            <w:r>
              <w:t xml:space="preserve">[Street Address, Suburb, QLD 4000, Australia Brisbane]</w:t>
            </w:r>
          </w:p>
        </w:tc>
      </w:tr>
      <w:tr>
        <w:tc>
          <w:tcPr/>
          <w:p>
            <w:pPr>
              <w:pStyle w:val="Compact"/>
              <w:jc w:val="left"/>
            </w:pPr>
            <w:r>
              <w:t xml:space="preserve">Contact Person</w:t>
            </w:r>
          </w:p>
        </w:tc>
        <w:tc>
          <w:tcPr/>
          <w:p>
            <w:pPr>
              <w:pStyle w:val="Compact"/>
              <w:jc w:val="left"/>
            </w:pPr>
            <w:r>
              <w:t xml:space="preserve">[Name &amp; Title]</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has been prepared to provide a comprehensive and transparent breakdown of costs associated with the engagement of a licensed</w:t>
      </w:r>
      <w:r>
        <w:t xml:space="preserve"> </w:t>
      </w:r>
      <w:r>
        <w:t xml:space="preserve">Customs Officer</w:t>
      </w:r>
      <w:r>
        <w:t xml:space="preserve"> </w:t>
      </w:r>
      <w:r>
        <w:t xml:space="preserve">to manage, facilitate, and oversee all customs clearance, import/export documentation, and trade compliance activities for your organisation within</w:t>
      </w:r>
      <w:r>
        <w:t xml:space="preserve"> </w:t>
      </w:r>
      <w:r>
        <w:t xml:space="preserve">Australia Brisbane</w:t>
      </w:r>
      <w:r>
        <w:t xml:space="preserve">. This document serves as a formal pricing proposal and does not constitute a binding contract until both parties have executed the acceptance section at the conclusion of this document.</w:t>
      </w:r>
    </w:p>
    <w:bookmarkEnd w:id="21"/>
    <w:bookmarkStart w:id="22" w:name="Xf658d5d146e484995c7b7f2898ad2b0a53514ae"/>
    <w:p>
      <w:pPr>
        <w:pStyle w:val="Heading2"/>
      </w:pPr>
      <w:r>
        <w:t xml:space="preserve">2. Scope of Services – Customs Officer Engagement</w:t>
      </w:r>
    </w:p>
    <w:p>
      <w:pPr>
        <w:pStyle w:val="FirstParagraph"/>
      </w:pPr>
      <w:r>
        <w:t xml:space="preserve">The</w:t>
      </w:r>
      <w:r>
        <w:t xml:space="preserve"> </w:t>
      </w:r>
      <w:r>
        <w:t xml:space="preserve">Customs Officer</w:t>
      </w:r>
      <w:r>
        <w:t xml:space="preserve"> </w:t>
      </w:r>
      <w:r>
        <w:t xml:space="preserve">engaged under this</w:t>
      </w:r>
      <w:r>
        <w:t xml:space="preserve"> </w:t>
      </w:r>
      <w:r>
        <w:t xml:space="preserve">Quotation Estimate</w:t>
      </w:r>
      <w:r>
        <w:t xml:space="preserve"> </w:t>
      </w:r>
      <w:r>
        <w:t xml:space="preserve">will provide the following services specifically tailored to the operational requirements of businesses based in</w:t>
      </w:r>
      <w:r>
        <w:t xml:space="preserve"> </w:t>
      </w:r>
      <w:r>
        <w:t xml:space="preserve">Australia Brisbane</w:t>
      </w:r>
      <w:r>
        <w:t xml:space="preserve">:</w:t>
      </w:r>
    </w:p>
    <w:p>
      <w:pPr>
        <w:numPr>
          <w:ilvl w:val="0"/>
          <w:numId w:val="1001"/>
        </w:numPr>
        <w:pStyle w:val="Compact"/>
      </w:pPr>
      <w:r>
        <w:rPr>
          <w:bCs/>
          <w:b/>
        </w:rPr>
        <w:t xml:space="preserve">Import &amp; Export Clearance:</w:t>
      </w:r>
      <w:r>
        <w:t xml:space="preserve"> </w:t>
      </w:r>
      <w:r>
        <w:t xml:space="preserve">Full management of customs declarations (ICMS/ACIS) through the Australian Border Force (ABF) systems for all cargo arriving at or departing from the Port of Brisbane, Brisbane Airport, and designated inland clearance facilities across South East Queensland.</w:t>
      </w:r>
    </w:p>
    <w:p>
      <w:pPr>
        <w:numPr>
          <w:ilvl w:val="0"/>
          <w:numId w:val="1001"/>
        </w:numPr>
        <w:pStyle w:val="Compact"/>
      </w:pPr>
      <w:r>
        <w:rPr>
          <w:bCs/>
          <w:b/>
        </w:rPr>
        <w:t xml:space="preserve">Classification &amp; Valuation:</w:t>
      </w:r>
      <w:r>
        <w:t xml:space="preserve"> </w:t>
      </w:r>
      <w:r>
        <w:t xml:space="preserve">Accurate Harmonised System (HS) tariff classification, customs valuation in accordance with the Customs Act 1901 (Cth), and determination of applicable duties, Goods and Services Tax (GST), and excise obligations.</w:t>
      </w:r>
    </w:p>
    <w:p>
      <w:pPr>
        <w:numPr>
          <w:ilvl w:val="0"/>
          <w:numId w:val="1001"/>
        </w:numPr>
        <w:pStyle w:val="Compact"/>
      </w:pPr>
      <w:r>
        <w:rPr>
          <w:bCs/>
          <w:b/>
        </w:rPr>
        <w:t xml:space="preserve">Documentation Management:</w:t>
      </w:r>
      <w:r>
        <w:t xml:space="preserve"> </w:t>
      </w:r>
      <w:r>
        <w:t xml:space="preserve">Preparation, review, and lodgement of Bills of Entry, Commercial Invoices, Packing Lists, Certificates of Origin, and any specialised permits required for controlled goods entering or leaving Australia Brisbane.</w:t>
      </w:r>
    </w:p>
    <w:p>
      <w:pPr>
        <w:numPr>
          <w:ilvl w:val="0"/>
          <w:numId w:val="1001"/>
        </w:numPr>
        <w:pStyle w:val="Compact"/>
      </w:pPr>
      <w:r>
        <w:rPr>
          <w:bCs/>
          <w:b/>
        </w:rPr>
        <w:t xml:space="preserve">Compliance &amp; Risk Advisory:</w:t>
      </w:r>
      <w:r>
        <w:t xml:space="preserve"> </w:t>
      </w:r>
      <w:r>
        <w:t xml:space="preserve">Ongoing advisory on Australian trade law, biosecurity requirements (DAFF), anti-dumping measures, and sanctions compliance to ensure your operations remain fully aligned with federal and Queensland state regulations.</w:t>
      </w:r>
    </w:p>
    <w:p>
      <w:pPr>
        <w:numPr>
          <w:ilvl w:val="0"/>
          <w:numId w:val="1001"/>
        </w:numPr>
        <w:pStyle w:val="Compact"/>
      </w:pPr>
      <w:r>
        <w:rPr>
          <w:bCs/>
          <w:b/>
        </w:rPr>
        <w:t xml:space="preserve">On-Site &amp; Remote Support:</w:t>
      </w:r>
      <w:r>
        <w:t xml:space="preserve"> </w:t>
      </w:r>
      <w:r>
        <w:t xml:space="preserve">The Customs Officer will be available for on-site attendance at the Port of Brisbane container terminals and Brisbane Airport cargo facilities during peak clearance windows, supplemented by remote support via secure digital channels for routine processing.</w:t>
      </w:r>
    </w:p>
    <w:p>
      <w:pPr>
        <w:numPr>
          <w:ilvl w:val="0"/>
          <w:numId w:val="1001"/>
        </w:numPr>
        <w:pStyle w:val="Compact"/>
      </w:pPr>
      <w:r>
        <w:rPr>
          <w:bCs/>
          <w:b/>
        </w:rPr>
        <w:t xml:space="preserve">Dispute &amp; Review Assistance:</w:t>
      </w:r>
      <w:r>
        <w:t xml:space="preserve"> </w:t>
      </w:r>
      <w:r>
        <w:t xml:space="preserve">Representation and liaison with the Australian Border Force in the event of customs queries, audits, or classification disputes affecting your shipments in Australia Brisbane.</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Rate (AUD)</w:t>
            </w:r>
          </w:p>
        </w:tc>
        <w:tc>
          <w:tcPr/>
          <w:p>
            <w:pPr>
              <w:pStyle w:val="Compact"/>
              <w:jc w:val="left"/>
            </w:pPr>
            <w:r>
              <w:t xml:space="preserve">Qty</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Customs Officer – Senior Licensed (Level 3) – Monthly Retainer for ongoing clearance management in Australia Brisbane</w:t>
            </w:r>
          </w:p>
        </w:tc>
        <w:tc>
          <w:tcPr/>
          <w:p>
            <w:pPr>
              <w:pStyle w:val="Compact"/>
              <w:jc w:val="left"/>
            </w:pPr>
            <w:r>
              <w:t xml:space="preserve">Month</w:t>
            </w:r>
          </w:p>
        </w:tc>
        <w:tc>
          <w:tcPr/>
          <w:p>
            <w:pPr>
              <w:pStyle w:val="Compact"/>
              <w:jc w:val="left"/>
            </w:pPr>
            <w:r>
              <w:t xml:space="preserve">8,450.00</w:t>
            </w:r>
          </w:p>
        </w:tc>
        <w:tc>
          <w:tcPr/>
          <w:p>
            <w:pPr>
              <w:pStyle w:val="Compact"/>
              <w:jc w:val="left"/>
            </w:pPr>
            <w:r>
              <w:t xml:space="preserve">12</w:t>
            </w:r>
          </w:p>
        </w:tc>
        <w:tc>
          <w:tcPr/>
          <w:p>
            <w:pPr>
              <w:pStyle w:val="Compact"/>
              <w:jc w:val="left"/>
            </w:pPr>
            <w:r>
              <w:t xml:space="preserve">101,400.00</w:t>
            </w:r>
          </w:p>
        </w:tc>
      </w:tr>
      <w:tr>
        <w:tc>
          <w:tcPr/>
          <w:p>
            <w:pPr>
              <w:pStyle w:val="Compact"/>
              <w:jc w:val="left"/>
            </w:pPr>
            <w:r>
              <w:t xml:space="preserve">2</w:t>
            </w:r>
          </w:p>
        </w:tc>
        <w:tc>
          <w:tcPr/>
          <w:p>
            <w:pPr>
              <w:pStyle w:val="Compact"/>
              <w:jc w:val="left"/>
            </w:pPr>
            <w:r>
              <w:t xml:space="preserve">Customs Officer – On-Site Attendance at Port of Brisbane / Brisbane Airport (per shift, 8 hours)</w:t>
            </w:r>
          </w:p>
        </w:tc>
        <w:tc>
          <w:tcPr/>
          <w:p>
            <w:pPr>
              <w:pStyle w:val="Compact"/>
              <w:jc w:val="left"/>
            </w:pPr>
            <w:r>
              <w:t xml:space="preserve">Shift</w:t>
            </w:r>
          </w:p>
        </w:tc>
        <w:tc>
          <w:tcPr/>
          <w:p>
            <w:pPr>
              <w:pStyle w:val="Compact"/>
              <w:jc w:val="left"/>
            </w:pPr>
            <w:r>
              <w:t xml:space="preserve">680.00</w:t>
            </w:r>
          </w:p>
        </w:tc>
        <w:tc>
          <w:tcPr/>
          <w:p>
            <w:pPr>
              <w:pStyle w:val="Compact"/>
              <w:jc w:val="left"/>
            </w:pPr>
            <w:r>
              <w:t xml:space="preserve">48</w:t>
            </w:r>
          </w:p>
        </w:tc>
        <w:tc>
          <w:tcPr/>
          <w:p>
            <w:pPr>
              <w:pStyle w:val="Compact"/>
              <w:jc w:val="left"/>
            </w:pPr>
            <w:r>
              <w:t xml:space="preserve">32,640.00</w:t>
            </w:r>
          </w:p>
        </w:tc>
      </w:tr>
      <w:tr>
        <w:tc>
          <w:tcPr/>
          <w:p>
            <w:pPr>
              <w:pStyle w:val="Compact"/>
              <w:jc w:val="left"/>
            </w:pPr>
            <w:r>
              <w:t xml:space="preserve">3</w:t>
            </w:r>
          </w:p>
        </w:tc>
        <w:tc>
          <w:tcPr/>
          <w:p>
            <w:pPr>
              <w:pStyle w:val="Compact"/>
              <w:jc w:val="left"/>
            </w:pPr>
            <w:r>
              <w:t xml:space="preserve">ICMS/ACIS Declaration Lodgement (per consignment, standard cargo)</w:t>
            </w:r>
          </w:p>
        </w:tc>
        <w:tc>
          <w:tcPr/>
          <w:p>
            <w:pPr>
              <w:pStyle w:val="Compact"/>
              <w:jc w:val="left"/>
            </w:pPr>
            <w:r>
              <w:t xml:space="preserve">Consignment</w:t>
            </w:r>
          </w:p>
        </w:tc>
        <w:tc>
          <w:tcPr/>
          <w:p>
            <w:pPr>
              <w:pStyle w:val="Compact"/>
              <w:jc w:val="left"/>
            </w:pPr>
            <w:r>
              <w:t xml:space="preserve">185.00</w:t>
            </w:r>
          </w:p>
        </w:tc>
        <w:tc>
          <w:tcPr/>
          <w:p>
            <w:pPr>
              <w:pStyle w:val="Compact"/>
              <w:jc w:val="left"/>
            </w:pPr>
            <w:r>
              <w:t xml:space="preserve">240</w:t>
            </w:r>
          </w:p>
        </w:tc>
        <w:tc>
          <w:tcPr/>
          <w:p>
            <w:pPr>
              <w:pStyle w:val="Compact"/>
              <w:jc w:val="left"/>
            </w:pPr>
            <w:r>
              <w:t xml:space="preserve">44,400.00</w:t>
            </w:r>
          </w:p>
        </w:tc>
      </w:tr>
      <w:tr>
        <w:tc>
          <w:tcPr/>
          <w:p>
            <w:pPr>
              <w:pStyle w:val="Compact"/>
              <w:jc w:val="left"/>
            </w:pPr>
            <w:r>
              <w:t xml:space="preserve">4</w:t>
            </w:r>
          </w:p>
        </w:tc>
        <w:tc>
          <w:tcPr/>
          <w:p>
            <w:pPr>
              <w:pStyle w:val="Compact"/>
              <w:jc w:val="left"/>
            </w:pPr>
            <w:r>
              <w:t xml:space="preserve">Specialised Permits &amp; Biosecurity Documentation (DAFF, TGA, ACMA) – per application</w:t>
            </w:r>
          </w:p>
        </w:tc>
        <w:tc>
          <w:tcPr/>
          <w:p>
            <w:pPr>
              <w:pStyle w:val="Compact"/>
              <w:jc w:val="left"/>
            </w:pPr>
            <w:r>
              <w:t xml:space="preserve">Application</w:t>
            </w:r>
          </w:p>
        </w:tc>
        <w:tc>
          <w:tcPr/>
          <w:p>
            <w:pPr>
              <w:pStyle w:val="Compact"/>
              <w:jc w:val="left"/>
            </w:pPr>
            <w:r>
              <w:t xml:space="preserve">420.00</w:t>
            </w:r>
          </w:p>
        </w:tc>
        <w:tc>
          <w:tcPr/>
          <w:p>
            <w:pPr>
              <w:pStyle w:val="Compact"/>
              <w:jc w:val="left"/>
            </w:pPr>
            <w:r>
              <w:t xml:space="preserve">24</w:t>
            </w:r>
          </w:p>
        </w:tc>
        <w:tc>
          <w:tcPr/>
          <w:p>
            <w:pPr>
              <w:pStyle w:val="Compact"/>
              <w:jc w:val="left"/>
            </w:pPr>
            <w:r>
              <w:t xml:space="preserve">10,080.00</w:t>
            </w:r>
          </w:p>
        </w:tc>
      </w:tr>
      <w:tr>
        <w:tc>
          <w:tcPr/>
          <w:p>
            <w:pPr>
              <w:pStyle w:val="Compact"/>
              <w:jc w:val="left"/>
            </w:pPr>
            <w:r>
              <w:t xml:space="preserve">5</w:t>
            </w:r>
          </w:p>
        </w:tc>
        <w:tc>
          <w:tcPr/>
          <w:p>
            <w:pPr>
              <w:pStyle w:val="Compact"/>
              <w:jc w:val="left"/>
            </w:pPr>
            <w:r>
              <w:t xml:space="preserve">Customs Classification &amp; Valuation Advisory Report (per product line)</w:t>
            </w:r>
          </w:p>
        </w:tc>
        <w:tc>
          <w:tcPr/>
          <w:p>
            <w:pPr>
              <w:pStyle w:val="Compact"/>
              <w:jc w:val="left"/>
            </w:pPr>
            <w:r>
              <w:t xml:space="preserve">Report</w:t>
            </w:r>
          </w:p>
        </w:tc>
        <w:tc>
          <w:tcPr/>
          <w:p>
            <w:pPr>
              <w:pStyle w:val="Compact"/>
              <w:jc w:val="left"/>
            </w:pPr>
            <w:r>
              <w:t xml:space="preserve">1,250.00</w:t>
            </w:r>
          </w:p>
        </w:tc>
        <w:tc>
          <w:tcPr/>
          <w:p>
            <w:pPr>
              <w:pStyle w:val="Compact"/>
              <w:jc w:val="left"/>
            </w:pPr>
            <w:r>
              <w:t xml:space="preserve">6</w:t>
            </w:r>
          </w:p>
        </w:tc>
        <w:tc>
          <w:tcPr/>
          <w:p>
            <w:pPr>
              <w:pStyle w:val="Compact"/>
              <w:jc w:val="left"/>
            </w:pPr>
            <w:r>
              <w:t xml:space="preserve">7,500.00</w:t>
            </w:r>
          </w:p>
        </w:tc>
      </w:tr>
      <w:tr>
        <w:tc>
          <w:tcPr/>
          <w:p>
            <w:pPr>
              <w:pStyle w:val="Compact"/>
              <w:jc w:val="left"/>
            </w:pPr>
            <w:r>
              <w:t xml:space="preserve">6</w:t>
            </w:r>
          </w:p>
        </w:tc>
        <w:tc>
          <w:tcPr/>
          <w:p>
            <w:pPr>
              <w:pStyle w:val="Compact"/>
              <w:jc w:val="left"/>
            </w:pPr>
            <w:r>
              <w:t xml:space="preserve">ABF Audit / Dispute Representation (per incident, Australia Brisbane jurisdiction)</w:t>
            </w:r>
          </w:p>
        </w:tc>
        <w:tc>
          <w:tcPr/>
          <w:p>
            <w:pPr>
              <w:pStyle w:val="Compact"/>
              <w:jc w:val="left"/>
            </w:pPr>
            <w:r>
              <w:t xml:space="preserve">Incident</w:t>
            </w:r>
          </w:p>
        </w:tc>
        <w:tc>
          <w:tcPr/>
          <w:p>
            <w:pPr>
              <w:pStyle w:val="Compact"/>
              <w:jc w:val="left"/>
            </w:pPr>
            <w:r>
              <w:t xml:space="preserve">2,800.00</w:t>
            </w:r>
          </w:p>
        </w:tc>
        <w:tc>
          <w:tcPr/>
          <w:p>
            <w:pPr>
              <w:pStyle w:val="Compact"/>
              <w:jc w:val="left"/>
            </w:pPr>
            <w:r>
              <w:t xml:space="preserve">2</w:t>
            </w:r>
          </w:p>
        </w:tc>
        <w:tc>
          <w:tcPr/>
          <w:p>
            <w:pPr>
              <w:pStyle w:val="Compact"/>
              <w:jc w:val="left"/>
            </w:pPr>
            <w:r>
              <w:t xml:space="preserve">5,600.00</w:t>
            </w:r>
          </w:p>
        </w:tc>
      </w:tr>
      <w:tr>
        <w:tc>
          <w:tcPr/>
          <w:p>
            <w:pPr>
              <w:pStyle w:val="Compact"/>
              <w:jc w:val="left"/>
            </w:pPr>
            <w:r>
              <w:t xml:space="preserve">7</w:t>
            </w:r>
          </w:p>
        </w:tc>
        <w:tc>
          <w:tcPr/>
          <w:p>
            <w:pPr>
              <w:pStyle w:val="Compact"/>
              <w:jc w:val="left"/>
            </w:pPr>
            <w:r>
              <w:t xml:space="preserve">Annual Trade Compliance Review &amp; Risk Assessment (Australia Brisbane operations)</w:t>
            </w:r>
          </w:p>
        </w:tc>
        <w:tc>
          <w:tcPr/>
          <w:p>
            <w:pPr>
              <w:pStyle w:val="Compact"/>
              <w:jc w:val="left"/>
            </w:pPr>
            <w:r>
              <w:t xml:space="preserve">Year</w:t>
            </w:r>
          </w:p>
        </w:tc>
        <w:tc>
          <w:tcPr/>
          <w:p>
            <w:pPr>
              <w:pStyle w:val="Compact"/>
              <w:jc w:val="left"/>
            </w:pPr>
            <w:r>
              <w:t xml:space="preserve">4,500.00</w:t>
            </w:r>
          </w:p>
        </w:tc>
        <w:tc>
          <w:tcPr/>
          <w:p>
            <w:pPr>
              <w:pStyle w:val="Compact"/>
              <w:jc w:val="left"/>
            </w:pPr>
            <w:r>
              <w:t xml:space="preserve">1</w:t>
            </w:r>
          </w:p>
        </w:tc>
        <w:tc>
          <w:tcPr/>
          <w:p>
            <w:pPr>
              <w:pStyle w:val="Compact"/>
              <w:jc w:val="left"/>
            </w:pPr>
            <w:r>
              <w:t xml:space="preserve">4,500.00</w:t>
            </w:r>
          </w:p>
        </w:tc>
      </w:tr>
      <w:tr>
        <w:tc>
          <w:tcPr>
            <w:gridSpan w:val="5"/>
          </w:tcPr>
          <w:p>
            <w:pPr>
              <w:pStyle w:val="Compact"/>
              <w:jc w:val="left"/>
            </w:pPr>
            <w:r>
              <w:t xml:space="preserve">Subtotal (Excl. GST)</w:t>
            </w:r>
          </w:p>
        </w:tc>
        <w:tc>
          <w:tcPr/>
          <w:p>
            <w:pPr>
              <w:pStyle w:val="Compact"/>
              <w:jc w:val="left"/>
            </w:pPr>
            <w:r>
              <w:t xml:space="preserve">206,120.00</w:t>
            </w:r>
          </w:p>
        </w:tc>
      </w:tr>
      <w:tr>
        <w:tc>
          <w:tcPr>
            <w:gridSpan w:val="5"/>
          </w:tcPr>
          <w:p>
            <w:pPr>
              <w:pStyle w:val="Compact"/>
              <w:jc w:val="left"/>
            </w:pPr>
            <w:r>
              <w:t xml:space="preserve">GST (10%)</w:t>
            </w:r>
          </w:p>
        </w:tc>
        <w:tc>
          <w:tcPr/>
          <w:p>
            <w:pPr>
              <w:pStyle w:val="Compact"/>
              <w:jc w:val="left"/>
            </w:pPr>
            <w:r>
              <w:t xml:space="preserve">20,612.00</w:t>
            </w:r>
          </w:p>
        </w:tc>
      </w:tr>
      <w:tr>
        <w:tc>
          <w:tcPr>
            <w:gridSpan w:val="5"/>
          </w:tcPr>
          <w:p>
            <w:pPr>
              <w:pStyle w:val="Compact"/>
              <w:jc w:val="left"/>
            </w:pPr>
            <w:r>
              <w:rPr>
                <w:bCs/>
                <w:b/>
              </w:rPr>
              <w:t xml:space="preserve">TOTAL (Incl. GST)</w:t>
            </w:r>
          </w:p>
        </w:tc>
        <w:tc>
          <w:tcPr/>
          <w:p>
            <w:pPr>
              <w:pStyle w:val="Compact"/>
              <w:jc w:val="left"/>
            </w:pPr>
            <w:r>
              <w:rPr>
                <w:bCs/>
                <w:b/>
              </w:rPr>
              <w:t xml:space="preserve">226,732.00</w:t>
            </w:r>
          </w:p>
        </w:tc>
      </w:tr>
    </w:tbl>
    <w:bookmarkEnd w:id="23"/>
    <w:bookmarkStart w:id="24" w:name="payment-terms"/>
    <w:p>
      <w:pPr>
        <w:pStyle w:val="Heading2"/>
      </w:pPr>
      <w:r>
        <w:t xml:space="preserve">4. Payment Terms</w:t>
      </w:r>
    </w:p>
    <w:p>
      <w:pPr>
        <w:pStyle w:val="FirstParagraph"/>
      </w:pPr>
      <w:r>
        <w:t xml:space="preserve">Payment for the services outlined in this</w:t>
      </w:r>
      <w:r>
        <w:t xml:space="preserve"> </w:t>
      </w:r>
      <w:r>
        <w:t xml:space="preserve">Quotation Estimate</w:t>
      </w:r>
      <w:r>
        <w:t xml:space="preserve"> </w:t>
      </w:r>
      <w:r>
        <w:t xml:space="preserve">shall be made in accordance with the following schedule:</w:t>
      </w:r>
    </w:p>
    <w:p>
      <w:pPr>
        <w:numPr>
          <w:ilvl w:val="0"/>
          <w:numId w:val="1002"/>
        </w:numPr>
        <w:pStyle w:val="Compact"/>
      </w:pPr>
      <w:r>
        <w:rPr>
          <w:bCs/>
          <w:b/>
        </w:rPr>
        <w:t xml:space="preserve">Retainer Fees (Item 1):</w:t>
      </w:r>
      <w:r>
        <w:t xml:space="preserve"> </w:t>
      </w:r>
      <w:r>
        <w:t xml:space="preserve">Payable monthly in advance on the 1st business day of each calendar month via direct bank transfer to the account nominated by Marine &amp; Trade Compliance Solutions Pty Ltd.</w:t>
      </w:r>
    </w:p>
    <w:p>
      <w:pPr>
        <w:numPr>
          <w:ilvl w:val="0"/>
          <w:numId w:val="1002"/>
        </w:numPr>
        <w:pStyle w:val="Compact"/>
      </w:pPr>
      <w:r>
        <w:rPr>
          <w:bCs/>
          <w:b/>
        </w:rPr>
        <w:t xml:space="preserve">Per-Shift &amp; Per-Consignment Fees (Items 2–4):</w:t>
      </w:r>
      <w:r>
        <w:t xml:space="preserve"> </w:t>
      </w:r>
      <w:r>
        <w:t xml:space="preserve">Invoiced fortnightly in arrears. Payment due within 14 calendar days of invoice date.</w:t>
      </w:r>
    </w:p>
    <w:p>
      <w:pPr>
        <w:numPr>
          <w:ilvl w:val="0"/>
          <w:numId w:val="1002"/>
        </w:numPr>
        <w:pStyle w:val="Compact"/>
      </w:pPr>
      <w:r>
        <w:rPr>
          <w:bCs/>
          <w:b/>
        </w:rPr>
        <w:t xml:space="preserve">Advisory &amp; Dispute Fees (Items 5–6):</w:t>
      </w:r>
      <w:r>
        <w:t xml:space="preserve"> </w:t>
      </w:r>
      <w:r>
        <w:t xml:space="preserve">Invoiced upon completion of the relevant service. Payment due within 14 calendar days.</w:t>
      </w:r>
    </w:p>
    <w:p>
      <w:pPr>
        <w:numPr>
          <w:ilvl w:val="0"/>
          <w:numId w:val="1002"/>
        </w:numPr>
        <w:pStyle w:val="Compact"/>
      </w:pPr>
      <w:r>
        <w:rPr>
          <w:bCs/>
          <w:b/>
        </w:rPr>
        <w:t xml:space="preserve">Annual Review (Item 7):</w:t>
      </w:r>
      <w:r>
        <w:t xml:space="preserve"> </w:t>
      </w:r>
      <w:r>
        <w:t xml:space="preserve">Payable in a single lump sum upon engagement, or in two equal instalments (50% at commencement, 50% upon delivery of the final report).</w:t>
      </w:r>
    </w:p>
    <w:p>
      <w:pPr>
        <w:numPr>
          <w:ilvl w:val="0"/>
          <w:numId w:val="1002"/>
        </w:numPr>
        <w:pStyle w:val="Compact"/>
      </w:pPr>
      <w:r>
        <w:t xml:space="preserve">Late payments will attract interest at the rate prescribed under the</w:t>
      </w:r>
      <w:r>
        <w:t xml:space="preserve"> </w:t>
      </w:r>
      <w:r>
        <w:rPr>
          <w:iCs/>
          <w:i/>
        </w:rPr>
        <w:t xml:space="preserve">Interest on Late Payments of Tax Debts Act 1983</w:t>
      </w:r>
      <w:r>
        <w:t xml:space="preserve"> </w:t>
      </w:r>
      <w:r>
        <w:t xml:space="preserve">(Cth), calculated daily from the due date until payment is received in full.</w:t>
      </w:r>
    </w:p>
    <w:bookmarkEnd w:id="24"/>
    <w:bookmarkStart w:id="25" w:name="terms-conditions"/>
    <w:p>
      <w:pPr>
        <w:pStyle w:val="Heading2"/>
      </w:pPr>
      <w:r>
        <w:t xml:space="preserve">5. Terms &amp; Conditions</w:t>
      </w:r>
    </w:p>
    <w:p>
      <w:pPr>
        <w:numPr>
          <w:ilvl w:val="0"/>
          <w:numId w:val="1003"/>
        </w:numPr>
        <w:pStyle w:val="Compact"/>
      </w:pPr>
      <w:r>
        <w:t xml:space="preserve">This</w:t>
      </w:r>
      <w:r>
        <w:t xml:space="preserve"> </w:t>
      </w:r>
      <w:r>
        <w:t xml:space="preserve">Quotation Estimate</w:t>
      </w:r>
      <w:r>
        <w:t xml:space="preserve"> </w:t>
      </w:r>
      <w:r>
        <w:t xml:space="preserve">is valid for a period of thirty (30) calendar days from the date of issue. Should the client wish to proceed after the expiry date, a revised Quotation Estimate reflecting any changes in market rates or regulatory requirements will be issued.</w:t>
      </w:r>
    </w:p>
    <w:p>
      <w:pPr>
        <w:numPr>
          <w:ilvl w:val="0"/>
          <w:numId w:val="1003"/>
        </w:numPr>
        <w:pStyle w:val="Compact"/>
      </w:pPr>
      <w:r>
        <w:t xml:space="preserve">The</w:t>
      </w:r>
      <w:r>
        <w:t xml:space="preserve"> </w:t>
      </w:r>
      <w:r>
        <w:t xml:space="preserve">Customs Officer</w:t>
      </w:r>
      <w:r>
        <w:t xml:space="preserve"> </w:t>
      </w:r>
      <w:r>
        <w:t xml:space="preserve">engaged under this arrangement holds a valid Customs Brokers Licence issued by the Australian Border Force and maintains professional indemnity insurance with a minimum cover of AUD 5,000,000 per occurrence.</w:t>
      </w:r>
    </w:p>
    <w:p>
      <w:pPr>
        <w:numPr>
          <w:ilvl w:val="0"/>
          <w:numId w:val="1003"/>
        </w:numPr>
        <w:pStyle w:val="Compact"/>
      </w:pPr>
      <w:r>
        <w:t xml:space="preserve">All services will be performed in strict compliance with the</w:t>
      </w:r>
      <w:r>
        <w:t xml:space="preserve"> </w:t>
      </w:r>
      <w:r>
        <w:rPr>
          <w:iCs/>
          <w:i/>
        </w:rPr>
        <w:t xml:space="preserve">Customs Act 1901</w:t>
      </w:r>
      <w:r>
        <w:t xml:space="preserve"> </w:t>
      </w:r>
      <w:r>
        <w:t xml:space="preserve">(Cth), the</w:t>
      </w:r>
      <w:r>
        <w:t xml:space="preserve"> </w:t>
      </w:r>
      <w:r>
        <w:rPr>
          <w:iCs/>
          <w:i/>
        </w:rPr>
        <w:t xml:space="preserve">Customs (Prohibited Imports) Regulations 1956</w:t>
      </w:r>
      <w:r>
        <w:t xml:space="preserve">, and all applicable Queensland state legislation relevant to trade and logistics operations in Australia Brisbane.</w:t>
      </w:r>
    </w:p>
    <w:p>
      <w:pPr>
        <w:numPr>
          <w:ilvl w:val="0"/>
          <w:numId w:val="1003"/>
        </w:numPr>
        <w:pStyle w:val="Compact"/>
      </w:pPr>
      <w:r>
        <w:t xml:space="preserve">The client agrees to provide all necessary commercial documentation, product specifications, and access to relevant systems in a timely manner to enable the Customs Officer to perform clearance activities without undue delay.</w:t>
      </w:r>
    </w:p>
    <w:p>
      <w:pPr>
        <w:numPr>
          <w:ilvl w:val="0"/>
          <w:numId w:val="1003"/>
        </w:numPr>
        <w:pStyle w:val="Compact"/>
      </w:pPr>
      <w:r>
        <w:t xml:space="preserve">Marine &amp; Trade Compliance Solutions Pty Ltd shall not be liable for any penalties, demurrage, or storage charges incurred as a result of the client's failure to provide accurate or complete documentation prior to the lodgement of a customs declaration.</w:t>
      </w:r>
    </w:p>
    <w:p>
      <w:pPr>
        <w:numPr>
          <w:ilvl w:val="0"/>
          <w:numId w:val="1003"/>
        </w:numPr>
        <w:pStyle w:val="Compact"/>
      </w:pPr>
      <w:r>
        <w:t xml:space="preserve">This Quotation Estimate does not include any government-imposed duties, taxes, levies, or port/airport handling charges, which are the sole responsibility of the client.</w:t>
      </w:r>
    </w:p>
    <w:p>
      <w:pPr>
        <w:numPr>
          <w:ilvl w:val="0"/>
          <w:numId w:val="1003"/>
        </w:numPr>
        <w:pStyle w:val="Compact"/>
      </w:pPr>
      <w:r>
        <w:t xml:space="preserve">Either party may terminate the engagement with thirty (30) days' written notice. Upon termination, all fees accrued up to the date of termination shall remain payable.</w:t>
      </w:r>
    </w:p>
    <w:p>
      <w:pPr>
        <w:numPr>
          <w:ilvl w:val="0"/>
          <w:numId w:val="1003"/>
        </w:numPr>
        <w:pStyle w:val="Compact"/>
      </w:pPr>
      <w:r>
        <w:t xml:space="preserve">Governing law: The laws of the State of Queensland, Australia Brisbane jurisdiction. Any disputes shall be resolved by the courts of Queensland or by arbitration under the rules of the Queensland Small Claims Commission, as applicable.</w:t>
      </w:r>
    </w:p>
    <w:bookmarkEnd w:id="25"/>
    <w:bookmarkStart w:id="26" w:name="acceptance-authorisation"/>
    <w:p>
      <w:pPr>
        <w:pStyle w:val="Heading2"/>
      </w:pPr>
      <w:r>
        <w:t xml:space="preserve">6. Acceptance &amp; Authorisation</w:t>
      </w:r>
    </w:p>
    <w:p>
      <w:pPr>
        <w:pStyle w:val="FirstParagraph"/>
      </w:pPr>
      <w:r>
        <w:t xml:space="preserve">By signing below, the client acknowledges that they have read, understood, and accepted all terms, conditions, and pricing details set out in this</w:t>
      </w:r>
      <w:r>
        <w:t xml:space="preserve"> </w:t>
      </w:r>
      <w:r>
        <w:t xml:space="preserve">Quotation Estimate</w:t>
      </w:r>
      <w:r>
        <w:t xml:space="preserve"> </w:t>
      </w:r>
      <w:r>
        <w:t xml:space="preserve">for</w:t>
      </w:r>
      <w:r>
        <w:t xml:space="preserve"> </w:t>
      </w:r>
      <w:r>
        <w:t xml:space="preserve">Customs Officer</w:t>
      </w:r>
      <w:r>
        <w:t xml:space="preserve"> </w:t>
      </w:r>
      <w:r>
        <w:t xml:space="preserve">services in</w:t>
      </w:r>
      <w:r>
        <w:t xml:space="preserve"> </w:t>
      </w:r>
      <w:r>
        <w:t xml:space="preserve">Australia Brisbane</w:t>
      </w:r>
      <w:r>
        <w:t xml:space="preserve">.</w:t>
      </w:r>
    </w:p>
    <w:p>
      <w:pPr>
        <w:pStyle w:val="BodyText"/>
      </w:pPr>
      <w:r>
        <w:rPr>
          <w:bCs/>
          <w:b/>
        </w:rPr>
        <w:t xml:space="preserve">For and on behalf of the Client:</w:t>
      </w:r>
      <w:r>
        <w:br/>
      </w:r>
      <w:r>
        <w:br/>
      </w: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p>
      <w:pPr>
        <w:pStyle w:val="BodyText"/>
      </w:pPr>
      <w:r>
        <w:rPr>
          <w:bCs/>
          <w:b/>
        </w:rPr>
        <w:t xml:space="preserve">For and on behalf of Marine &amp; Trade Compliance Solutions Pty Ltd:</w:t>
      </w:r>
      <w:r>
        <w:br/>
      </w:r>
      <w:r>
        <w:br/>
      </w:r>
      <w:r>
        <w:t xml:space="preserve">Name: ______________________________</w:t>
      </w:r>
      <w:r>
        <w:br/>
      </w:r>
      <w:r>
        <w:t xml:space="preserve">Title: Director / Authorised Representative</w:t>
      </w:r>
      <w:r>
        <w:br/>
      </w:r>
      <w:r>
        <w:t xml:space="preserve">Signature: ______________________________</w:t>
      </w:r>
      <w:r>
        <w:br/>
      </w:r>
      <w:r>
        <w:t xml:space="preserve">Date: ______________________________</w:t>
      </w:r>
    </w:p>
    <w:p>
      <w:pPr>
        <w:pStyle w:val="BodyText"/>
      </w:pPr>
      <w:r>
        <w:t xml:space="preserve">Marine &amp; Trade Compliance Solutions Pty Ltd | ABN 48 217 639 041 | Level 12, 123 Creek Street, Brisbane QLD 4000, Australia Brisbane</w:t>
      </w:r>
    </w:p>
    <w:p>
      <w:pPr>
        <w:pStyle w:val="BodyText"/>
      </w:pPr>
      <w:r>
        <w:t xml:space="preserve">Phone: +61 7 3100 4500 | Email: quotes@mtcsolutions.com.au | This Quotation Estimate is confidential and intended solely for the named client.</w:t>
      </w:r>
    </w:p>
    <w:p>
      <w:pPr>
        <w:pStyle w:val="BodyText"/>
      </w:pPr>
      <w:r>
        <w:t xml:space="preserve">Document generated: 14 June 2025 | Version 1.0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Customs Officer Services - Australia Brisbane</dc:title>
  <dc:creator/>
  <dc:language>en</dc:language>
  <cp:keywords/>
  <dcterms:created xsi:type="dcterms:W3CDTF">2026-10-10T07:24:35Z</dcterms:created>
  <dcterms:modified xsi:type="dcterms:W3CDTF">2026-10-10T07:24:35Z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