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Customs Officer Services — Colombia Bogotá</w:t>
      </w:r>
    </w:p>
    <w:p>
      <w:pPr>
        <w:pStyle w:val="BodyText"/>
      </w:pPr>
      <w:r>
        <w:t xml:space="preserve">Document Reference: QE-CO-BOG-2025-0472</w:t>
      </w:r>
    </w:p>
    <w:bookmarkEnd w:id="20"/>
    <w:p>
      <w:pPr>
        <w:pStyle w:val="BodyText"/>
      </w:pPr>
      <w:r>
        <w:rPr>
          <w:bCs/>
          <w:b/>
        </w:rPr>
        <w:t xml:space="preserve">Prepared By:</w:t>
      </w:r>
      <w:r>
        <w:t xml:space="preserve"> </w:t>
      </w:r>
      <w:r>
        <w:t xml:space="preserve">Andes Trade Compliance Group S.A.S.</w:t>
      </w:r>
      <w:r>
        <w:br/>
      </w:r>
      <w:r>
        <w:rPr>
          <w:bCs/>
          <w:b/>
        </w:rPr>
        <w:t xml:space="preserve">Address:</w:t>
      </w:r>
      <w:r>
        <w:t xml:space="preserve"> </w:t>
      </w:r>
      <w:r>
        <w:t xml:space="preserve">Av. El Dorado #13-45, Of. 902, Bogotá D.C., Colombia</w:t>
      </w:r>
      <w:r>
        <w:br/>
      </w:r>
      <w:r>
        <w:rPr>
          <w:bCs/>
          <w:b/>
        </w:rPr>
        <w:t xml:space="preserve">NIT:</w:t>
      </w:r>
      <w:r>
        <w:t xml:space="preserve"> </w:t>
      </w:r>
      <w:r>
        <w:t xml:space="preserve">901.234.567-8</w:t>
      </w:r>
      <w:r>
        <w:br/>
      </w:r>
      <w:r>
        <w:rPr>
          <w:bCs/>
          <w:b/>
        </w:rPr>
        <w:t xml:space="preserve">Email:</w:t>
      </w:r>
      <w:r>
        <w:t xml:space="preserve"> </w:t>
      </w:r>
      <w:r>
        <w:t xml:space="preserve">quotes@andestrade.com.co</w:t>
      </w:r>
    </w:p>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Quotation Estimate No.:</w:t>
      </w:r>
      <w:r>
        <w:t xml:space="preserve"> </w:t>
      </w:r>
      <w:r>
        <w:t xml:space="preserve">QE-CO-BOG-2025-0472</w:t>
      </w:r>
      <w:r>
        <w:br/>
      </w:r>
      <w:r>
        <w:rPr>
          <w:bCs/>
          <w:b/>
        </w:rPr>
        <w:t xml:space="preserve">Prepared For:</w:t>
      </w:r>
      <w:r>
        <w:t xml:space="preserve"> </w:t>
      </w:r>
      <w:r>
        <w:t xml:space="preserve">[Client Name / Company]</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Andes Trade Compliance Group S.A.S. to provide a comprehensive and transparent cost breakdown for the engagement of a licensed</w:t>
      </w:r>
      <w:r>
        <w:t xml:space="preserve"> </w:t>
      </w:r>
      <w:r>
        <w:t xml:space="preserve">Customs Officer</w:t>
      </w:r>
      <w:r>
        <w:t xml:space="preserve"> </w:t>
      </w:r>
      <w:r>
        <w:t xml:space="preserve">to manage, supervise, and facilitate all import and export customs clearance operations within the jurisdiction of</w:t>
      </w:r>
      <w:r>
        <w:t xml:space="preserve"> </w:t>
      </w:r>
      <w:r>
        <w:t xml:space="preserve">Colombia Bogotá</w:t>
      </w:r>
      <w:r>
        <w:t xml:space="preserve">. This document serves as a formal proposal outlining the professional services, applicable fees, regulatory compliance requirements, and operational parameters that will govern the engagement of the designated Customs Officer for the client's logistics and trade operations based in the Bogotá metropolitan area.</w:t>
      </w:r>
    </w:p>
    <w:p>
      <w:pPr>
        <w:pStyle w:val="BodyText"/>
      </w:pPr>
      <w:r>
        <w:t xml:space="preserve">The scope of this Quotation Estimate covers a twelve-month service period commencing on the date of contract execution. All services will be rendered in strict accordance with the regulations established by the Colombian Directorate General of Taxes (DIAN), the Colombian Customs Code (Decree 1081 of 2015), and the applicable provisions of the Andean Community (CAN) trade regulations. The Customs Officer engaged under this Quotation Estimate will operate exclusively within the customs territory of Colombia Bogotá, including the Port of Bogotá El Dorado International Airport, the Bogotá Dry Port (Puerto Seco), and all designated customs zones within the Cundinamarca department.</w:t>
      </w:r>
    </w:p>
    <w:bookmarkEnd w:id="21"/>
    <w:bookmarkStart w:id="22" w:name="X194e6fbda225a2288b49a414ec1014383c2e152"/>
    <w:p>
      <w:pPr>
        <w:pStyle w:val="Heading2"/>
      </w:pPr>
      <w:r>
        <w:t xml:space="preserve">2. Professional Services Rendered by the Customs Officer</w:t>
      </w:r>
    </w:p>
    <w:p>
      <w:pPr>
        <w:pStyle w:val="FirstParagraph"/>
      </w:pPr>
      <w:r>
        <w:t xml:space="preserve">The</w:t>
      </w:r>
      <w:r>
        <w:t xml:space="preserve"> </w:t>
      </w:r>
      <w:r>
        <w:t xml:space="preserve">Customs Officer</w:t>
      </w:r>
      <w:r>
        <w:t xml:space="preserve"> </w:t>
      </w:r>
      <w:r>
        <w:t xml:space="preserve">engaged under this Quotation Estimate will provide the following professional services to the client in Colombia Bogotá:</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Monthly Fee (COP)</w:t>
            </w:r>
          </w:p>
        </w:tc>
      </w:tr>
      <w:tr>
        <w:tc>
          <w:tcPr/>
          <w:p>
            <w:pPr>
              <w:pStyle w:val="Compact"/>
              <w:jc w:val="left"/>
            </w:pPr>
            <w:r>
              <w:t xml:space="preserve">Customs Declaration Filing</w:t>
            </w:r>
          </w:p>
        </w:tc>
        <w:tc>
          <w:tcPr/>
          <w:p>
            <w:pPr>
              <w:pStyle w:val="Compact"/>
              <w:jc w:val="left"/>
            </w:pPr>
            <w:r>
              <w:t xml:space="preserve">Preparation, validation, and electronic submission of import/export declarations (DUA) through the DIAN system in Colombia Bogotá</w:t>
            </w:r>
          </w:p>
        </w:tc>
        <w:tc>
          <w:tcPr/>
          <w:p>
            <w:pPr>
              <w:pStyle w:val="Compact"/>
              <w:jc w:val="left"/>
            </w:pPr>
            <w:r>
              <w:t xml:space="preserve">Per declaration (up to 150/month)</w:t>
            </w:r>
          </w:p>
        </w:tc>
        <w:tc>
          <w:tcPr/>
          <w:p>
            <w:pPr>
              <w:pStyle w:val="Compact"/>
              <w:jc w:val="left"/>
            </w:pPr>
            <w:r>
              <w:t xml:space="preserve">4,500,000</w:t>
            </w:r>
          </w:p>
        </w:tc>
      </w:tr>
      <w:tr>
        <w:tc>
          <w:tcPr/>
          <w:p>
            <w:pPr>
              <w:pStyle w:val="Compact"/>
              <w:jc w:val="left"/>
            </w:pPr>
            <w:r>
              <w:t xml:space="preserve">Regulatory Compliance Monitoring</w:t>
            </w:r>
          </w:p>
        </w:tc>
        <w:tc>
          <w:tcPr/>
          <w:p>
            <w:pPr>
              <w:pStyle w:val="Compact"/>
              <w:jc w:val="left"/>
            </w:pPr>
            <w:r>
              <w:t xml:space="preserve">Ongoing monitoring of DIAN regulations, tariff updates, and trade policy changes affecting operations in Colombia Bogotá</w:t>
            </w:r>
          </w:p>
        </w:tc>
        <w:tc>
          <w:tcPr/>
          <w:p>
            <w:pPr>
              <w:pStyle w:val="Compact"/>
              <w:jc w:val="left"/>
            </w:pPr>
            <w:r>
              <w:t xml:space="preserve">Continuous</w:t>
            </w:r>
          </w:p>
        </w:tc>
        <w:tc>
          <w:tcPr/>
          <w:p>
            <w:pPr>
              <w:pStyle w:val="Compact"/>
              <w:jc w:val="left"/>
            </w:pPr>
            <w:r>
              <w:t xml:space="preserve">2,800,000</w:t>
            </w:r>
          </w:p>
        </w:tc>
      </w:tr>
      <w:tr>
        <w:tc>
          <w:tcPr/>
          <w:p>
            <w:pPr>
              <w:pStyle w:val="Compact"/>
              <w:jc w:val="left"/>
            </w:pPr>
            <w:r>
              <w:t xml:space="preserve">Physical Inspection Coordination</w:t>
            </w:r>
          </w:p>
        </w:tc>
        <w:tc>
          <w:tcPr/>
          <w:p>
            <w:pPr>
              <w:pStyle w:val="Compact"/>
              <w:jc w:val="left"/>
            </w:pPr>
            <w:r>
              <w:t xml:space="preserve">On-site presence and coordination during customs physical inspections at El Dorado Airport and Bogotá Dry Port</w:t>
            </w:r>
          </w:p>
        </w:tc>
        <w:tc>
          <w:tcPr/>
          <w:p>
            <w:pPr>
              <w:pStyle w:val="Compact"/>
              <w:jc w:val="left"/>
            </w:pPr>
            <w:r>
              <w:t xml:space="preserve">As required (up to 20/month)</w:t>
            </w:r>
          </w:p>
        </w:tc>
        <w:tc>
          <w:tcPr/>
          <w:p>
            <w:pPr>
              <w:pStyle w:val="Compact"/>
              <w:jc w:val="left"/>
            </w:pPr>
            <w:r>
              <w:t xml:space="preserve">3,200,000</w:t>
            </w:r>
          </w:p>
        </w:tc>
      </w:tr>
      <w:tr>
        <w:tc>
          <w:tcPr/>
          <w:p>
            <w:pPr>
              <w:pStyle w:val="Compact"/>
              <w:jc w:val="left"/>
            </w:pPr>
            <w:r>
              <w:t xml:space="preserve">Documentation Management</w:t>
            </w:r>
          </w:p>
        </w:tc>
        <w:tc>
          <w:tcPr/>
          <w:p>
            <w:pPr>
              <w:pStyle w:val="Compact"/>
              <w:jc w:val="left"/>
            </w:pPr>
            <w:r>
              <w:t xml:space="preserve">Review, authentication, and archiving of all customs documentation, certificates of origin, and commercial invoices</w:t>
            </w:r>
          </w:p>
        </w:tc>
        <w:tc>
          <w:tcPr/>
          <w:p>
            <w:pPr>
              <w:pStyle w:val="Compact"/>
              <w:jc w:val="left"/>
            </w:pPr>
            <w:r>
              <w:t xml:space="preserve">Continuous</w:t>
            </w:r>
          </w:p>
        </w:tc>
        <w:tc>
          <w:tcPr/>
          <w:p>
            <w:pPr>
              <w:pStyle w:val="Compact"/>
              <w:jc w:val="left"/>
            </w:pPr>
            <w:r>
              <w:t xml:space="preserve">1,900,000</w:t>
            </w:r>
          </w:p>
        </w:tc>
      </w:tr>
      <w:tr>
        <w:tc>
          <w:tcPr/>
          <w:p>
            <w:pPr>
              <w:pStyle w:val="Compact"/>
              <w:jc w:val="left"/>
            </w:pPr>
            <w:r>
              <w:t xml:space="preserve">Tariff Classification Advisory</w:t>
            </w:r>
          </w:p>
        </w:tc>
        <w:tc>
          <w:tcPr/>
          <w:p>
            <w:pPr>
              <w:pStyle w:val="Compact"/>
              <w:jc w:val="left"/>
            </w:pPr>
            <w:r>
              <w:t xml:space="preserve">Expert classification of goods under the Harmonized System (HS) and application of applicable duty rates in Colombia Bogotá</w:t>
            </w:r>
          </w:p>
        </w:tc>
        <w:tc>
          <w:tcPr/>
          <w:p>
            <w:pPr>
              <w:pStyle w:val="Compact"/>
              <w:jc w:val="left"/>
            </w:pPr>
            <w:r>
              <w:t xml:space="preserve">Per request (up to 40/month)</w:t>
            </w:r>
          </w:p>
        </w:tc>
        <w:tc>
          <w:tcPr/>
          <w:p>
            <w:pPr>
              <w:pStyle w:val="Compact"/>
              <w:jc w:val="left"/>
            </w:pPr>
            <w:r>
              <w:t xml:space="preserve">2,400,000</w:t>
            </w:r>
          </w:p>
        </w:tc>
      </w:tr>
      <w:tr>
        <w:tc>
          <w:tcPr/>
          <w:p>
            <w:pPr>
              <w:pStyle w:val="Compact"/>
              <w:jc w:val="left"/>
            </w:pPr>
            <w:r>
              <w:t xml:space="preserve">Customs Audit Representation</w:t>
            </w:r>
          </w:p>
        </w:tc>
        <w:tc>
          <w:tcPr/>
          <w:p>
            <w:pPr>
              <w:pStyle w:val="Compact"/>
              <w:jc w:val="left"/>
            </w:pPr>
            <w:r>
              <w:t xml:space="preserve">Representation of the client before DIAN during customs audits, post-clearance reviews, and dispute resolution proceedings</w:t>
            </w:r>
          </w:p>
        </w:tc>
        <w:tc>
          <w:tcPr/>
          <w:p>
            <w:pPr>
              <w:pStyle w:val="Compact"/>
              <w:jc w:val="left"/>
            </w:pPr>
            <w:r>
              <w:t xml:space="preserve">As required</w:t>
            </w:r>
          </w:p>
        </w:tc>
        <w:tc>
          <w:tcPr/>
          <w:p>
            <w:pPr>
              <w:pStyle w:val="Compact"/>
              <w:jc w:val="left"/>
            </w:pPr>
            <w:r>
              <w:t xml:space="preserve">1,500,000</w:t>
            </w:r>
          </w:p>
        </w:tc>
      </w:tr>
      <w:tr>
        <w:tc>
          <w:tcPr/>
          <w:p>
            <w:pPr>
              <w:pStyle w:val="Compact"/>
              <w:jc w:val="left"/>
            </w:pPr>
            <w:r>
              <w:t xml:space="preserve">Free Trade Agreement Utilization</w:t>
            </w:r>
          </w:p>
        </w:tc>
        <w:tc>
          <w:tcPr/>
          <w:p>
            <w:pPr>
              <w:pStyle w:val="Compact"/>
              <w:jc w:val="left"/>
            </w:pPr>
            <w:r>
              <w:t xml:space="preserve">Advisory and documentation support for preferential tariff treatment under Colombia's FTAs (US, EU, Canada, Mercosur, etc.)</w:t>
            </w:r>
          </w:p>
        </w:tc>
        <w:tc>
          <w:tcPr/>
          <w:p>
            <w:pPr>
              <w:pStyle w:val="Compact"/>
              <w:jc w:val="left"/>
            </w:pPr>
            <w:r>
              <w:t xml:space="preserve">Continuous</w:t>
            </w:r>
          </w:p>
        </w:tc>
        <w:tc>
          <w:tcPr/>
          <w:p>
            <w:pPr>
              <w:pStyle w:val="Compact"/>
              <w:jc w:val="left"/>
            </w:pPr>
            <w:r>
              <w:t xml:space="preserve">1,200,000</w:t>
            </w:r>
          </w:p>
        </w:tc>
      </w:tr>
    </w:tbl>
    <w:bookmarkEnd w:id="22"/>
    <w:bookmarkStart w:id="23" w:name="cost-summary-of-this-quotation-estimate"/>
    <w:p>
      <w:pPr>
        <w:pStyle w:val="Heading2"/>
      </w:pPr>
      <w:r>
        <w:t xml:space="preserve">3. Cost Summary of This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Cost Component</w:t>
            </w:r>
          </w:p>
        </w:tc>
        <w:tc>
          <w:tcPr/>
          <w:p>
            <w:pPr>
              <w:pStyle w:val="Compact"/>
              <w:jc w:val="left"/>
            </w:pPr>
            <w:r>
              <w:t xml:space="preserve">Amount (COP)</w:t>
            </w:r>
          </w:p>
        </w:tc>
        <w:tc>
          <w:tcPr/>
          <w:p>
            <w:pPr>
              <w:pStyle w:val="Compact"/>
              <w:jc w:val="left"/>
            </w:pPr>
            <w:r>
              <w:t xml:space="preserve">Amount (USD, approx.)</w:t>
            </w:r>
          </w:p>
        </w:tc>
      </w:tr>
      <w:tr>
        <w:tc>
          <w:tcPr/>
          <w:p>
            <w:pPr>
              <w:pStyle w:val="Compact"/>
              <w:jc w:val="left"/>
            </w:pPr>
            <w:r>
              <w:t xml:space="preserve">Monthly Professional Fees (Customs Officer)</w:t>
            </w:r>
          </w:p>
        </w:tc>
        <w:tc>
          <w:tcPr/>
          <w:p>
            <w:pPr>
              <w:pStyle w:val="Compact"/>
              <w:jc w:val="left"/>
            </w:pPr>
            <w:r>
              <w:t xml:space="preserve">17,500,000</w:t>
            </w:r>
          </w:p>
        </w:tc>
        <w:tc>
          <w:tcPr/>
          <w:p>
            <w:pPr>
              <w:pStyle w:val="Compact"/>
              <w:jc w:val="left"/>
            </w:pPr>
            <w:r>
              <w:t xml:space="preserve">$4,375.00</w:t>
            </w:r>
          </w:p>
        </w:tc>
      </w:tr>
      <w:tr>
        <w:tc>
          <w:tcPr/>
          <w:p>
            <w:pPr>
              <w:pStyle w:val="Compact"/>
              <w:jc w:val="left"/>
            </w:pPr>
            <w:r>
              <w:t xml:space="preserve">DIAN Electronic Access &amp; System Licenses</w:t>
            </w:r>
          </w:p>
        </w:tc>
        <w:tc>
          <w:tcPr/>
          <w:p>
            <w:pPr>
              <w:pStyle w:val="Compact"/>
              <w:jc w:val="left"/>
            </w:pPr>
            <w:r>
              <w:t xml:space="preserve">850,000</w:t>
            </w:r>
          </w:p>
        </w:tc>
        <w:tc>
          <w:tcPr/>
          <w:p>
            <w:pPr>
              <w:pStyle w:val="Compact"/>
              <w:jc w:val="left"/>
            </w:pPr>
            <w:r>
              <w:t xml:space="preserve">$212.50</w:t>
            </w:r>
          </w:p>
        </w:tc>
      </w:tr>
      <w:tr>
        <w:tc>
          <w:tcPr/>
          <w:p>
            <w:pPr>
              <w:pStyle w:val="Compact"/>
              <w:jc w:val="left"/>
            </w:pPr>
            <w:r>
              <w:t xml:space="preserve">On-Site Presence &amp; Travel within Colombia Bogotá</w:t>
            </w:r>
          </w:p>
        </w:tc>
        <w:tc>
          <w:tcPr/>
          <w:p>
            <w:pPr>
              <w:pStyle w:val="Compact"/>
              <w:jc w:val="left"/>
            </w:pPr>
            <w:r>
              <w:t xml:space="preserve">1,200,000</w:t>
            </w:r>
          </w:p>
        </w:tc>
        <w:tc>
          <w:tcPr/>
          <w:p>
            <w:pPr>
              <w:pStyle w:val="Compact"/>
              <w:jc w:val="left"/>
            </w:pPr>
            <w:r>
              <w:t xml:space="preserve">$300.00</w:t>
            </w:r>
          </w:p>
        </w:tc>
      </w:tr>
      <w:tr>
        <w:tc>
          <w:tcPr/>
          <w:p>
            <w:pPr>
              <w:pStyle w:val="Compact"/>
              <w:jc w:val="left"/>
            </w:pPr>
            <w:r>
              <w:t xml:space="preserve">Professional Liability Insurance (Customs Officer)</w:t>
            </w:r>
          </w:p>
        </w:tc>
        <w:tc>
          <w:tcPr/>
          <w:p>
            <w:pPr>
              <w:pStyle w:val="Compact"/>
              <w:jc w:val="left"/>
            </w:pPr>
            <w:r>
              <w:t xml:space="preserve">950,000</w:t>
            </w:r>
          </w:p>
        </w:tc>
        <w:tc>
          <w:tcPr/>
          <w:p>
            <w:pPr>
              <w:pStyle w:val="Compact"/>
              <w:jc w:val="left"/>
            </w:pPr>
            <w:r>
              <w:t xml:space="preserve">$237.50</w:t>
            </w:r>
          </w:p>
        </w:tc>
      </w:tr>
      <w:tr>
        <w:tc>
          <w:tcPr/>
          <w:p>
            <w:pPr>
              <w:pStyle w:val="Compact"/>
              <w:jc w:val="left"/>
            </w:pPr>
            <w:r>
              <w:t xml:space="preserve">Administrative &amp; Reporting Overhead</w:t>
            </w:r>
          </w:p>
        </w:tc>
        <w:tc>
          <w:tcPr/>
          <w:p>
            <w:pPr>
              <w:pStyle w:val="Compact"/>
              <w:jc w:val="left"/>
            </w:pPr>
            <w:r>
              <w:t xml:space="preserve">700,000</w:t>
            </w:r>
          </w:p>
        </w:tc>
        <w:tc>
          <w:tcPr/>
          <w:p>
            <w:pPr>
              <w:pStyle w:val="Compact"/>
              <w:jc w:val="left"/>
            </w:pPr>
            <w:r>
              <w:t xml:space="preserve">$175.00</w:t>
            </w:r>
          </w:p>
        </w:tc>
      </w:tr>
      <w:tr>
        <w:tc>
          <w:tcPr/>
          <w:p>
            <w:pPr>
              <w:pStyle w:val="Compact"/>
              <w:jc w:val="left"/>
            </w:pPr>
            <w:r>
              <w:t xml:space="preserve">TOTAL MONTHLY AMOUNT</w:t>
            </w:r>
          </w:p>
        </w:tc>
        <w:tc>
          <w:tcPr/>
          <w:p>
            <w:pPr>
              <w:pStyle w:val="Compact"/>
              <w:jc w:val="left"/>
            </w:pPr>
            <w:r>
              <w:t xml:space="preserve">21,200,000</w:t>
            </w:r>
          </w:p>
        </w:tc>
        <w:tc>
          <w:tcPr/>
          <w:p>
            <w:pPr>
              <w:pStyle w:val="Compact"/>
              <w:jc w:val="left"/>
            </w:pPr>
            <w:r>
              <w:t xml:space="preserve">$5,300.00</w:t>
            </w:r>
          </w:p>
        </w:tc>
      </w:tr>
      <w:tr>
        <w:tc>
          <w:tcPr/>
          <w:p>
            <w:pPr>
              <w:pStyle w:val="Compact"/>
              <w:jc w:val="left"/>
            </w:pPr>
            <w:r>
              <w:t xml:space="preserve">ANNUAL TOTAL (12 Months)</w:t>
            </w:r>
          </w:p>
        </w:tc>
        <w:tc>
          <w:tcPr/>
          <w:p>
            <w:pPr>
              <w:pStyle w:val="Compact"/>
              <w:jc w:val="left"/>
            </w:pPr>
            <w:r>
              <w:t xml:space="preserve">254,400,000</w:t>
            </w:r>
          </w:p>
        </w:tc>
        <w:tc>
          <w:tcPr/>
          <w:p>
            <w:pPr>
              <w:pStyle w:val="Compact"/>
              <w:jc w:val="left"/>
            </w:pPr>
            <w:r>
              <w:t xml:space="preserve">$63,600.00</w:t>
            </w:r>
          </w:p>
        </w:tc>
      </w:tr>
    </w:tbl>
    <w:p>
      <w:pPr>
        <w:pStyle w:val="BodyText"/>
      </w:pPr>
      <w:r>
        <w:t xml:space="preserve">All amounts stated in this Quotation Estimate are exclusive of applicable Value Added Tax (VAT / IVA) at the current Colombian rate of 19%, unless otherwise specified. The exchange rate used for USD conversion is COP 4,000 per 1 USD, subject to market fluctuation at the time of invoicing.</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Beyond this period, all fees and terms are subject to revision based on regulatory changes in Colombia Bogotá or market conditions.</w:t>
      </w:r>
      <w:r>
        <w:br/>
      </w:r>
      <w:r>
        <w:rPr>
          <w:bCs/>
          <w:b/>
        </w:rPr>
        <w:t xml:space="preserve">4.2</w:t>
      </w:r>
      <w:r>
        <w:t xml:space="preserve"> </w:t>
      </w:r>
      <w:r>
        <w:t xml:space="preserve">The Customs Officer designated under this engagement must hold a valid professional license issued by the Colombian Ministry of Commerce, Industry, and Tourism, and must be registered with DIAN as an authorized customs agent (Agente de Aduanas).</w:t>
      </w:r>
      <w:r>
        <w:br/>
      </w:r>
      <w:r>
        <w:rPr>
          <w:bCs/>
          <w:b/>
        </w:rPr>
        <w:t xml:space="preserve">4.3</w:t>
      </w:r>
      <w:r>
        <w:t xml:space="preserve"> </w:t>
      </w:r>
      <w:r>
        <w:t xml:space="preserve">Payment terms: Net 15 days from the date of monthly invoice issuance. Late payments shall accrue interest at the maximum rate permitted by Colombian law.</w:t>
      </w:r>
      <w:r>
        <w:br/>
      </w:r>
      <w:r>
        <w:rPr>
          <w:bCs/>
          <w:b/>
        </w:rPr>
        <w:t xml:space="preserve">4.4</w:t>
      </w:r>
      <w:r>
        <w:t xml:space="preserve"> </w:t>
      </w:r>
      <w:r>
        <w:t xml:space="preserve">The client agrees to provide all necessary commercial documentation, product specifications, and trade data in a timely manner to enable the Customs Officer to perform duties without delay.</w:t>
      </w:r>
      <w:r>
        <w:br/>
      </w:r>
      <w:r>
        <w:rPr>
          <w:bCs/>
          <w:b/>
        </w:rPr>
        <w:t xml:space="preserve">4.5</w:t>
      </w:r>
      <w:r>
        <w:t xml:space="preserve"> </w:t>
      </w:r>
      <w:r>
        <w:t xml:space="preserve">This Quotation Estimate does not constitute a binding contract until both parties execute a formal Service Agreement. All services will be governed by the laws of the Republic of Colombia, with jurisdiction in the courts of Bogotá D.C.</w:t>
      </w:r>
      <w:r>
        <w:br/>
      </w:r>
      <w:r>
        <w:rPr>
          <w:bCs/>
          <w:b/>
        </w:rPr>
        <w:t xml:space="preserve">4.6</w:t>
      </w:r>
      <w:r>
        <w:t xml:space="preserve"> </w:t>
      </w:r>
      <w:r>
        <w:t xml:space="preserve">The Customs Officer shall maintain strict confidentiality regarding all client trade data, commercial information, and operational details in accordance with Colombian data protection law (Law 1581 of 2012).</w:t>
      </w:r>
      <w:r>
        <w:br/>
      </w:r>
      <w:r>
        <w:rPr>
          <w:bCs/>
          <w:b/>
        </w:rPr>
        <w:t xml:space="preserve">4.7</w:t>
      </w:r>
      <w:r>
        <w:t xml:space="preserve"> </w:t>
      </w:r>
      <w:r>
        <w:t xml:space="preserve">Any additional services beyond the scope defined in this Quotation Estimate will be subject to a supplementary written agreement and additional fees as mutually agreed upon.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Customs Officer services in Colombia Bogotá and agrees to the terms, conditions, and fee structure outlined herein. This acceptance authorizes Andes Trade Compliance Group S.A.S. to proceed with the formal engagement of the designated Customs Officer upon execution of the definitive Service Agreement.</w:t>
      </w:r>
    </w:p>
    <w:bookmarkEnd w:id="25"/>
    <w:p>
      <w:pPr>
        <w:pStyle w:val="BodyText"/>
      </w:pPr>
      <w:r>
        <w:rPr>
          <w:bCs/>
          <w:b/>
        </w:rPr>
        <w:t xml:space="preserve">For Andes Trade Compliance Group S.A.S.</w:t>
      </w:r>
      <w:r>
        <w:br/>
      </w:r>
      <w:r>
        <w:t xml:space="preserve">Name: ___________________________</w:t>
      </w:r>
      <w:r>
        <w:br/>
      </w:r>
      <w:r>
        <w:t xml:space="preserve">Title: Director of Customs Operations</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Andes Trade Compliance Group S.A.S. — Quotation Estimate QE-CO-BOG-2025-0472 — Customs Officer Services, Colombia Bogotá</w:t>
      </w:r>
      <w:r>
        <w:br/>
      </w:r>
      <w:r>
        <w:t xml:space="preserve">This document is confidential and intended solely for the named recipient. Unauthorized reproduction or distribution is prohibited.</w:t>
      </w:r>
      <w:r>
        <w:br/>
      </w:r>
      <w:r>
        <w:t xml:space="preserve">© 2025 Andes Trade Compliance Group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Colombia Bogotá</dc:title>
  <dc:creator/>
  <dc:language>en</dc:language>
  <cp:keywords/>
  <dcterms:created xsi:type="dcterms:W3CDTF">2026-10-10T07:02:53Z</dcterms:created>
  <dcterms:modified xsi:type="dcterms:W3CDTF">2026-10-10T07:02:53Z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