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Kenya</w:t>
      </w:r>
      <w:r>
        <w:t xml:space="preserve"> </w:t>
      </w:r>
      <w:r>
        <w:t xml:space="preserve">Nairobi</w:t>
      </w:r>
    </w:p>
    <w:bookmarkStart w:id="20" w:name="quotation-estimate"/>
    <w:p>
      <w:pPr>
        <w:pStyle w:val="Heading1"/>
      </w:pPr>
      <w:r>
        <w:t xml:space="preserve">Quotation Estimate</w:t>
      </w:r>
    </w:p>
    <w:p>
      <w:pPr>
        <w:pStyle w:val="FirstParagraph"/>
      </w:pPr>
      <w:r>
        <w:t xml:space="preserve">Professional Customs Officer Services</w:t>
      </w:r>
    </w:p>
    <w:p>
      <w:pPr>
        <w:pStyle w:val="BodyText"/>
      </w:pPr>
      <w:r>
        <w:t xml:space="preserve">Kenya Nairobi | Republic of Kenya</w:t>
      </w:r>
    </w:p>
    <w:p>
      <w:pPr>
        <w:pStyle w:val="BodyText"/>
      </w:pPr>
      <w:r>
        <w:t xml:space="preserve">Document Reference: QTE-KN-2025-0047</w:t>
      </w:r>
    </w:p>
    <w:bookmarkEnd w:id="20"/>
    <w:p>
      <w:pPr>
        <w:pStyle w:val="BodyText"/>
      </w:pPr>
      <w:r>
        <w:rPr>
          <w:bCs/>
          <w:b/>
        </w:rPr>
        <w:t xml:space="preserve">Date of Issue:</w:t>
      </w:r>
      <w:r>
        <w:t xml:space="preserve"> </w:t>
      </w:r>
      <w:r>
        <w:t xml:space="preserve">15 June 2025</w:t>
      </w:r>
      <w:r>
        <w:br/>
      </w:r>
      <w:r>
        <w:rPr>
          <w:bCs/>
          <w:b/>
        </w:rPr>
        <w:t xml:space="preserve">Validity Period:</w:t>
      </w:r>
      <w:r>
        <w:t xml:space="preserve"> </w:t>
      </w:r>
      <w:r>
        <w:t xml:space="preserve">30 Calendar Days</w:t>
      </w:r>
      <w:r>
        <w:br/>
      </w:r>
      <w:r>
        <w:rPr>
          <w:bCs/>
          <w:b/>
        </w:rPr>
        <w:t xml:space="preserve">Prepared By:</w:t>
      </w:r>
      <w:r>
        <w:t xml:space="preserve"> </w:t>
      </w:r>
      <w:r>
        <w:t xml:space="preserve">East African Trade Compliance Ltd.</w:t>
      </w:r>
    </w:p>
    <w:p>
      <w:pPr>
        <w:pStyle w:val="BodyText"/>
      </w:pPr>
      <w:r>
        <w:rPr>
          <w:bCs/>
          <w:b/>
        </w:rPr>
        <w:t xml:space="preserve">Client Name:</w:t>
      </w:r>
      <w:r>
        <w:t xml:space="preserve"> </w:t>
      </w:r>
      <w:r>
        <w:t xml:space="preserve">[Client Company Name]</w:t>
      </w:r>
      <w:r>
        <w:br/>
      </w:r>
      <w:r>
        <w:rPr>
          <w:bCs/>
          <w:b/>
        </w:rPr>
        <w:t xml:space="preserve">Client Address:</w:t>
      </w:r>
      <w:r>
        <w:t xml:space="preserve"> </w:t>
      </w:r>
      <w:r>
        <w:t xml:space="preserve">Nairobi, Kenya</w:t>
      </w:r>
      <w:r>
        <w:br/>
      </w:r>
      <w:r>
        <w:rPr>
          <w:bCs/>
          <w:b/>
        </w:rPr>
        <w:t xml:space="preserve">Contact Person:</w:t>
      </w:r>
      <w:r>
        <w:t xml:space="preserve"> </w:t>
      </w:r>
      <w:r>
        <w:t xml:space="preserve">[Name &amp; Title]</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issued by East African Trade Compliance Ltd., a registered professional services firm operating in</w:t>
      </w:r>
      <w:r>
        <w:t xml:space="preserve"> </w:t>
      </w:r>
      <w:r>
        <w:t xml:space="preserve">Kenya Nairobi</w:t>
      </w:r>
      <w:r>
        <w:t xml:space="preserve">, to provide a comprehensive and transparent breakdown of costs associated with the engagement of a qualified</w:t>
      </w:r>
      <w:r>
        <w:t xml:space="preserve"> </w:t>
      </w:r>
      <w:r>
        <w:t xml:space="preserve">Customs Officer</w:t>
      </w:r>
      <w:r>
        <w:t xml:space="preserve"> </w:t>
      </w:r>
      <w:r>
        <w:t xml:space="preserve">for the client's import and export operations. This document serves as a formal</w:t>
      </w:r>
      <w:r>
        <w:t xml:space="preserve"> </w:t>
      </w:r>
      <w:r>
        <w:t xml:space="preserve">Quotation Estimate</w:t>
      </w:r>
      <w:r>
        <w:t xml:space="preserve"> </w:t>
      </w:r>
      <w:r>
        <w:t xml:space="preserve">outlining the scope of services, professional fees, applicable taxes, and all associated terms governing the provision of</w:t>
      </w:r>
      <w:r>
        <w:t xml:space="preserve"> </w:t>
      </w:r>
      <w:r>
        <w:t xml:space="preserve">Customs Officer</w:t>
      </w:r>
      <w:r>
        <w:t xml:space="preserve"> </w:t>
      </w:r>
      <w:r>
        <w:t xml:space="preserve">services within the Nairobi metropolitan area and its surrounding logistics corridors.</w:t>
      </w:r>
    </w:p>
    <w:p>
      <w:pPr>
        <w:pStyle w:val="BodyText"/>
      </w:pPr>
      <w:r>
        <w:t xml:space="preserve">Our firm has been providing dedicated</w:t>
      </w:r>
      <w:r>
        <w:t xml:space="preserve"> </w:t>
      </w:r>
      <w:r>
        <w:t xml:space="preserve">Customs Officer</w:t>
      </w:r>
      <w:r>
        <w:t xml:space="preserve"> </w:t>
      </w:r>
      <w:r>
        <w:t xml:space="preserve">services to businesses operating in</w:t>
      </w:r>
      <w:r>
        <w:t xml:space="preserve"> </w:t>
      </w:r>
      <w:r>
        <w:t xml:space="preserve">Kenya Nairobi</w:t>
      </w:r>
      <w:r>
        <w:t xml:space="preserve"> </w:t>
      </w:r>
      <w:r>
        <w:t xml:space="preserve">for over fifteen years. We understand the complexities of Kenya's customs regulations as administered by the Kenya Revenue Authority (KRA) and the Kenya Customs Service, and we are committed to delivering efficient, compliant, and cost-effective solutions tailored to each client's specific trade requirements.</w:t>
      </w:r>
    </w:p>
    <w:bookmarkEnd w:id="21"/>
    <w:bookmarkStart w:id="22" w:name="Xf658d5d146e484995c7b7f2898ad2b0a53514ae"/>
    <w:p>
      <w:pPr>
        <w:pStyle w:val="Heading2"/>
      </w:pPr>
      <w:r>
        <w:t xml:space="preserve">2. Scope of Services – Customs Officer Engagement</w:t>
      </w:r>
    </w:p>
    <w:p>
      <w:pPr>
        <w:pStyle w:val="FirstParagraph"/>
      </w:pPr>
      <w:r>
        <w:t xml:space="preserve">The</w:t>
      </w:r>
      <w:r>
        <w:t xml:space="preserve"> </w:t>
      </w:r>
      <w:r>
        <w:t xml:space="preserve">Customs Officer</w:t>
      </w:r>
      <w:r>
        <w:t xml:space="preserve"> </w:t>
      </w:r>
      <w:r>
        <w:t xml:space="preserve">engaged under this</w:t>
      </w:r>
      <w:r>
        <w:t xml:space="preserve"> </w:t>
      </w:r>
      <w:r>
        <w:t xml:space="preserve">Quotation Estimate</w:t>
      </w:r>
      <w:r>
        <w:t xml:space="preserve"> </w:t>
      </w:r>
      <w:r>
        <w:t xml:space="preserve">shall perform the following duties on behalf of the client in</w:t>
      </w:r>
      <w:r>
        <w:t xml:space="preserve"> </w:t>
      </w:r>
      <w:r>
        <w:t xml:space="preserve">Kenya Nairobi</w:t>
      </w:r>
      <w:r>
        <w:t xml:space="preserve">:</w:t>
      </w:r>
    </w:p>
    <w:p>
      <w:pPr>
        <w:numPr>
          <w:ilvl w:val="0"/>
          <w:numId w:val="1001"/>
        </w:numPr>
        <w:pStyle w:val="Compact"/>
      </w:pPr>
      <w:r>
        <w:t xml:space="preserve">Preparation, review, and submission of all customs declarations (K1, K2, K3, and K4 forms) through the Kenya Integrated Customs Management System (KICMS) at the Nairobi International Airport, Mombasa port liaison, and the Nairobi Dry Port (ICD Embakasi).</w:t>
      </w:r>
    </w:p>
    <w:p>
      <w:pPr>
        <w:numPr>
          <w:ilvl w:val="0"/>
          <w:numId w:val="1001"/>
        </w:numPr>
        <w:pStyle w:val="Compact"/>
      </w:pPr>
      <w:r>
        <w:t xml:space="preserve">Classification of goods under the Harmonized System (HS) codes in accordance with Kenya's Customs and Excise Act, 2003, and its amendments.</w:t>
      </w:r>
    </w:p>
    <w:p>
      <w:pPr>
        <w:numPr>
          <w:ilvl w:val="0"/>
          <w:numId w:val="1001"/>
        </w:numPr>
        <w:pStyle w:val="Compact"/>
      </w:pPr>
      <w:r>
        <w:t xml:space="preserve">Calculation and verification of import duties, Value Added Tax (VAT), Excise Duty, and any applicable levies including the African Union Levy, Development Levy, and Import Declaration Fee.</w:t>
      </w:r>
    </w:p>
    <w:p>
      <w:pPr>
        <w:numPr>
          <w:ilvl w:val="0"/>
          <w:numId w:val="1001"/>
        </w:numPr>
        <w:pStyle w:val="Compact"/>
      </w:pPr>
      <w:r>
        <w:t xml:space="preserve">Coordination with Kenya Revenue Authority officers, Kenya Bureau of Standards (KEBS), and other regulatory bodies at the Nairobi port of entry.</w:t>
      </w:r>
    </w:p>
    <w:p>
      <w:pPr>
        <w:numPr>
          <w:ilvl w:val="0"/>
          <w:numId w:val="1001"/>
        </w:numPr>
        <w:pStyle w:val="Compact"/>
      </w:pPr>
      <w:r>
        <w:t xml:space="preserve">Management of bonded warehouse operations and transshipment procedures within the</w:t>
      </w:r>
      <w:r>
        <w:t xml:space="preserve"> </w:t>
      </w:r>
      <w:r>
        <w:t xml:space="preserve">Kenya Nairobi</w:t>
      </w:r>
      <w:r>
        <w:t xml:space="preserve"> </w:t>
      </w:r>
      <w:r>
        <w:t xml:space="preserve">customs zone.</w:t>
      </w:r>
    </w:p>
    <w:p>
      <w:pPr>
        <w:numPr>
          <w:ilvl w:val="0"/>
          <w:numId w:val="1001"/>
        </w:numPr>
        <w:pStyle w:val="Compact"/>
      </w:pPr>
      <w:r>
        <w:t xml:space="preserve">Advisory services on trade compliance, rules of origin, preferential tariff schemes (EAC Common External Tariff, AGOA, and EU-KE EPA), and duty drawback claims.</w:t>
      </w:r>
    </w:p>
    <w:p>
      <w:pPr>
        <w:numPr>
          <w:ilvl w:val="0"/>
          <w:numId w:val="1001"/>
        </w:numPr>
        <w:pStyle w:val="Compact"/>
      </w:pPr>
      <w:r>
        <w:t xml:space="preserve">Monthly reporting and reconciliation of all customs transactions processed on behalf of the client.</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Rate (KES)</w:t>
            </w:r>
          </w:p>
        </w:tc>
        <w:tc>
          <w:tcPr/>
          <w:p>
            <w:pPr>
              <w:pStyle w:val="Compact"/>
              <w:jc w:val="left"/>
            </w:pPr>
            <w:r>
              <w:t xml:space="preserve">Quantity</w:t>
            </w:r>
          </w:p>
        </w:tc>
        <w:tc>
          <w:tcPr/>
          <w:p>
            <w:pPr>
              <w:pStyle w:val="Compact"/>
              <w:jc w:val="left"/>
            </w:pPr>
            <w:r>
              <w:t xml:space="preserve">Amount (KES)</w:t>
            </w:r>
          </w:p>
        </w:tc>
      </w:tr>
      <w:tr>
        <w:tc>
          <w:tcPr/>
          <w:p>
            <w:pPr>
              <w:pStyle w:val="Compact"/>
              <w:jc w:val="left"/>
            </w:pPr>
            <w:r>
              <w:t xml:space="preserve">1</w:t>
            </w:r>
          </w:p>
        </w:tc>
        <w:tc>
          <w:tcPr/>
          <w:p>
            <w:pPr>
              <w:pStyle w:val="Compact"/>
              <w:jc w:val="left"/>
            </w:pPr>
            <w:r>
              <w:t xml:space="preserve">Monthly retainer fee for dedicated Customs Officer (full-time, 8-hour workday, 5 days/week) based in Kenya Nairobi</w:t>
            </w:r>
          </w:p>
        </w:tc>
        <w:tc>
          <w:tcPr/>
          <w:p>
            <w:pPr>
              <w:pStyle w:val="Compact"/>
              <w:jc w:val="left"/>
            </w:pPr>
            <w:r>
              <w:t xml:space="preserve">Month</w:t>
            </w:r>
          </w:p>
        </w:tc>
        <w:tc>
          <w:tcPr/>
          <w:p>
            <w:pPr>
              <w:pStyle w:val="Compact"/>
              <w:jc w:val="left"/>
            </w:pPr>
            <w:r>
              <w:t xml:space="preserve">185,000</w:t>
            </w:r>
          </w:p>
        </w:tc>
        <w:tc>
          <w:tcPr/>
          <w:p>
            <w:pPr>
              <w:pStyle w:val="Compact"/>
              <w:jc w:val="left"/>
            </w:pPr>
            <w:r>
              <w:t xml:space="preserve">12</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Customs declaration processing fee (per entry, including KICMS submission and document preparation)</w:t>
            </w:r>
          </w:p>
        </w:tc>
        <w:tc>
          <w:tcPr/>
          <w:p>
            <w:pPr>
              <w:pStyle w:val="Compact"/>
              <w:jc w:val="left"/>
            </w:pPr>
            <w:r>
              <w:t xml:space="preserve">Entry</w:t>
            </w:r>
          </w:p>
        </w:tc>
        <w:tc>
          <w:tcPr/>
          <w:p>
            <w:pPr>
              <w:pStyle w:val="Compact"/>
              <w:jc w:val="left"/>
            </w:pPr>
            <w:r>
              <w:t xml:space="preserve">4,500</w:t>
            </w:r>
          </w:p>
        </w:tc>
        <w:tc>
          <w:tcPr/>
          <w:p>
            <w:pPr>
              <w:pStyle w:val="Compact"/>
              <w:jc w:val="left"/>
            </w:pPr>
            <w:r>
              <w:t xml:space="preserve">60</w:t>
            </w:r>
          </w:p>
        </w:tc>
        <w:tc>
          <w:tcPr/>
          <w:p>
            <w:pPr>
              <w:pStyle w:val="Compact"/>
              <w:jc w:val="left"/>
            </w:pPr>
            <w:r>
              <w:t xml:space="preserve">270,000</w:t>
            </w:r>
          </w:p>
        </w:tc>
      </w:tr>
      <w:tr>
        <w:tc>
          <w:tcPr/>
          <w:p>
            <w:pPr>
              <w:pStyle w:val="Compact"/>
              <w:jc w:val="left"/>
            </w:pPr>
            <w:r>
              <w:t xml:space="preserve">3</w:t>
            </w:r>
          </w:p>
        </w:tc>
        <w:tc>
          <w:tcPr/>
          <w:p>
            <w:pPr>
              <w:pStyle w:val="Compact"/>
              <w:jc w:val="left"/>
            </w:pPr>
            <w:r>
              <w:t xml:space="preserve">Port and ICD escort services at Nairobi International Airport and ICD Embakasi (per shipment)</w:t>
            </w:r>
          </w:p>
        </w:tc>
        <w:tc>
          <w:tcPr/>
          <w:p>
            <w:pPr>
              <w:pStyle w:val="Compact"/>
              <w:jc w:val="left"/>
            </w:pPr>
            <w:r>
              <w:t xml:space="preserve">Shipment</w:t>
            </w:r>
          </w:p>
        </w:tc>
        <w:tc>
          <w:tcPr/>
          <w:p>
            <w:pPr>
              <w:pStyle w:val="Compact"/>
              <w:jc w:val="left"/>
            </w:pPr>
            <w:r>
              <w:t xml:space="preserve">8,000</w:t>
            </w:r>
          </w:p>
        </w:tc>
        <w:tc>
          <w:tcPr/>
          <w:p>
            <w:pPr>
              <w:pStyle w:val="Compact"/>
              <w:jc w:val="left"/>
            </w:pPr>
            <w:r>
              <w:t xml:space="preserve">60</w:t>
            </w:r>
          </w:p>
        </w:tc>
        <w:tc>
          <w:tcPr/>
          <w:p>
            <w:pPr>
              <w:pStyle w:val="Compact"/>
              <w:jc w:val="left"/>
            </w:pPr>
            <w:r>
              <w:t xml:space="preserve">480,000</w:t>
            </w:r>
          </w:p>
        </w:tc>
      </w:tr>
      <w:tr>
        <w:tc>
          <w:tcPr/>
          <w:p>
            <w:pPr>
              <w:pStyle w:val="Compact"/>
              <w:jc w:val="left"/>
            </w:pPr>
            <w:r>
              <w:t xml:space="preserve">4</w:t>
            </w:r>
          </w:p>
        </w:tc>
        <w:tc>
          <w:tcPr/>
          <w:p>
            <w:pPr>
              <w:pStyle w:val="Compact"/>
              <w:jc w:val="left"/>
            </w:pPr>
            <w:r>
              <w:t xml:space="preserve">Trade compliance advisory and regulatory update sessions (quarterly)</w:t>
            </w:r>
          </w:p>
        </w:tc>
        <w:tc>
          <w:tcPr/>
          <w:p>
            <w:pPr>
              <w:pStyle w:val="Compact"/>
              <w:jc w:val="left"/>
            </w:pPr>
            <w:r>
              <w:t xml:space="preserve">Session</w:t>
            </w:r>
          </w:p>
        </w:tc>
        <w:tc>
          <w:tcPr/>
          <w:p>
            <w:pPr>
              <w:pStyle w:val="Compact"/>
              <w:jc w:val="left"/>
            </w:pPr>
            <w:r>
              <w:t xml:space="preserve">35,000</w:t>
            </w:r>
          </w:p>
        </w:tc>
        <w:tc>
          <w:tcPr/>
          <w:p>
            <w:pPr>
              <w:pStyle w:val="Compact"/>
              <w:jc w:val="left"/>
            </w:pPr>
            <w:r>
              <w:t xml:space="preserve">4</w:t>
            </w:r>
          </w:p>
        </w:tc>
        <w:tc>
          <w:tcPr/>
          <w:p>
            <w:pPr>
              <w:pStyle w:val="Compact"/>
              <w:jc w:val="left"/>
            </w:pPr>
            <w:r>
              <w:t xml:space="preserve">140,000</w:t>
            </w:r>
          </w:p>
        </w:tc>
      </w:tr>
      <w:tr>
        <w:tc>
          <w:tcPr/>
          <w:p>
            <w:pPr>
              <w:pStyle w:val="Compact"/>
              <w:jc w:val="left"/>
            </w:pPr>
            <w:r>
              <w:t xml:space="preserve">5</w:t>
            </w:r>
          </w:p>
        </w:tc>
        <w:tc>
          <w:tcPr/>
          <w:p>
            <w:pPr>
              <w:pStyle w:val="Compact"/>
              <w:jc w:val="left"/>
            </w:pPr>
            <w:r>
              <w:t xml:space="preserve">Document management, filing, and record-keeping services (annual)</w:t>
            </w:r>
          </w:p>
        </w:tc>
        <w:tc>
          <w:tcPr/>
          <w:p>
            <w:pPr>
              <w:pStyle w:val="Compact"/>
              <w:jc w:val="left"/>
            </w:pPr>
            <w:r>
              <w:t xml:space="preserve">Year</w:t>
            </w:r>
          </w:p>
        </w:tc>
        <w:tc>
          <w:tcPr/>
          <w:p>
            <w:pPr>
              <w:pStyle w:val="Compact"/>
              <w:jc w:val="left"/>
            </w:pPr>
            <w:r>
              <w:t xml:space="preserve">96,000</w:t>
            </w:r>
          </w:p>
        </w:tc>
        <w:tc>
          <w:tcPr/>
          <w:p>
            <w:pPr>
              <w:pStyle w:val="Compact"/>
              <w:jc w:val="left"/>
            </w:pPr>
            <w:r>
              <w:t xml:space="preserve">1</w:t>
            </w:r>
          </w:p>
        </w:tc>
        <w:tc>
          <w:tcPr/>
          <w:p>
            <w:pPr>
              <w:pStyle w:val="Compact"/>
              <w:jc w:val="left"/>
            </w:pPr>
            <w:r>
              <w:t xml:space="preserve">96,000</w:t>
            </w:r>
          </w:p>
        </w:tc>
      </w:tr>
      <w:tr>
        <w:tc>
          <w:tcPr/>
          <w:p>
            <w:pPr>
              <w:pStyle w:val="Compact"/>
              <w:jc w:val="left"/>
            </w:pPr>
            <w:r>
              <w:t xml:space="preserve">6</w:t>
            </w:r>
          </w:p>
        </w:tc>
        <w:tc>
          <w:tcPr/>
          <w:p>
            <w:pPr>
              <w:pStyle w:val="Compact"/>
              <w:jc w:val="left"/>
            </w:pPr>
            <w:r>
              <w:t xml:space="preserve">Emergency after-hours customs clearance support (standby, up to 8 hours per month)</w:t>
            </w:r>
          </w:p>
        </w:tc>
        <w:tc>
          <w:tcPr/>
          <w:p>
            <w:pPr>
              <w:pStyle w:val="Compact"/>
              <w:jc w:val="left"/>
            </w:pPr>
            <w:r>
              <w:t xml:space="preserve">Month</w:t>
            </w:r>
          </w:p>
        </w:tc>
        <w:tc>
          <w:tcPr/>
          <w:p>
            <w:pPr>
              <w:pStyle w:val="Compact"/>
              <w:jc w:val="left"/>
            </w:pPr>
            <w:r>
              <w:t xml:space="preserve">25,000</w:t>
            </w:r>
          </w:p>
        </w:tc>
        <w:tc>
          <w:tcPr/>
          <w:p>
            <w:pPr>
              <w:pStyle w:val="Compact"/>
              <w:jc w:val="left"/>
            </w:pPr>
            <w:r>
              <w:t xml:space="preserve">12</w:t>
            </w:r>
          </w:p>
        </w:tc>
        <w:tc>
          <w:tcPr/>
          <w:p>
            <w:pPr>
              <w:pStyle w:val="Compact"/>
              <w:jc w:val="left"/>
            </w:pPr>
            <w:r>
              <w:t xml:space="preserve">300,000</w:t>
            </w:r>
          </w:p>
        </w:tc>
      </w:tr>
      <w:tr>
        <w:tc>
          <w:tcPr/>
          <w:p>
            <w:pPr>
              <w:pStyle w:val="Compact"/>
              <w:jc w:val="left"/>
            </w:pPr>
            <w:r>
              <w:t xml:space="preserve">7</w:t>
            </w:r>
          </w:p>
        </w:tc>
        <w:tc>
          <w:tcPr/>
          <w:p>
            <w:pPr>
              <w:pStyle w:val="Compact"/>
              <w:jc w:val="left"/>
            </w:pPr>
            <w:r>
              <w:t xml:space="preserve">Travel and logistics within Kenya Nairobi metropolitan area (fuel, transport, tolls)</w:t>
            </w:r>
          </w:p>
        </w:tc>
        <w:tc>
          <w:tcPr/>
          <w:p>
            <w:pPr>
              <w:pStyle w:val="Compact"/>
              <w:jc w:val="left"/>
            </w:pPr>
            <w:r>
              <w:t xml:space="preserve">Year</w:t>
            </w:r>
          </w:p>
        </w:tc>
        <w:tc>
          <w:tcPr/>
          <w:p>
            <w:pPr>
              <w:pStyle w:val="Compact"/>
              <w:jc w:val="left"/>
            </w:pPr>
            <w:r>
              <w:t xml:space="preserve">120,000</w:t>
            </w:r>
          </w:p>
        </w:tc>
        <w:tc>
          <w:tcPr/>
          <w:p>
            <w:pPr>
              <w:pStyle w:val="Compact"/>
              <w:jc w:val="left"/>
            </w:pPr>
            <w:r>
              <w:t xml:space="preserve">1</w:t>
            </w:r>
          </w:p>
        </w:tc>
        <w:tc>
          <w:tcPr/>
          <w:p>
            <w:pPr>
              <w:pStyle w:val="Compact"/>
              <w:jc w:val="left"/>
            </w:pPr>
            <w:r>
              <w:t xml:space="preserve">120,000</w:t>
            </w:r>
          </w:p>
        </w:tc>
      </w:tr>
      <w:tr>
        <w:tc>
          <w:tcPr>
            <w:gridSpan w:val="5"/>
          </w:tcPr>
          <w:p>
            <w:pPr>
              <w:pStyle w:val="Compact"/>
              <w:jc w:val="left"/>
            </w:pPr>
            <w:r>
              <w:t xml:space="preserve">Subtotal (KES)</w:t>
            </w:r>
          </w:p>
        </w:tc>
        <w:tc>
          <w:tcPr/>
          <w:p>
            <w:pPr>
              <w:pStyle w:val="Compact"/>
              <w:jc w:val="left"/>
            </w:pPr>
            <w:r>
              <w:t xml:space="preserve">3,626,000</w:t>
            </w:r>
          </w:p>
        </w:tc>
      </w:tr>
      <w:tr>
        <w:tc>
          <w:tcPr>
            <w:gridSpan w:val="5"/>
          </w:tcPr>
          <w:p>
            <w:pPr>
              <w:pStyle w:val="Compact"/>
              <w:jc w:val="left"/>
            </w:pPr>
            <w:r>
              <w:t xml:space="preserve">Value Added Tax (VAT) at 16%</w:t>
            </w:r>
          </w:p>
        </w:tc>
        <w:tc>
          <w:tcPr/>
          <w:p>
            <w:pPr>
              <w:pStyle w:val="Compact"/>
              <w:jc w:val="left"/>
            </w:pPr>
            <w:r>
              <w:t xml:space="preserve">580,160</w:t>
            </w:r>
          </w:p>
        </w:tc>
      </w:tr>
      <w:tr>
        <w:tc>
          <w:tcPr>
            <w:gridSpan w:val="5"/>
          </w:tcPr>
          <w:p>
            <w:pPr>
              <w:pStyle w:val="Compact"/>
              <w:jc w:val="left"/>
            </w:pPr>
            <w:r>
              <w:t xml:space="preserve">Grand Total (KES)</w:t>
            </w:r>
          </w:p>
        </w:tc>
        <w:tc>
          <w:tcPr/>
          <w:p>
            <w:pPr>
              <w:pStyle w:val="Compact"/>
              <w:jc w:val="left"/>
            </w:pPr>
            <w:r>
              <w:t xml:space="preserve">4,206,160</w:t>
            </w:r>
          </w:p>
        </w:tc>
      </w:tr>
    </w:tbl>
    <w:bookmarkEnd w:id="23"/>
    <w:bookmarkStart w:id="24" w:name="payment-terms-and-conditions"/>
    <w:p>
      <w:pPr>
        <w:pStyle w:val="Heading2"/>
      </w:pPr>
      <w:r>
        <w:t xml:space="preserve">4. Payment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Beyond this period, all rates are subject to revision based on prevailing market conditions in</w:t>
      </w:r>
      <w:r>
        <w:t xml:space="preserve"> </w:t>
      </w:r>
      <w:r>
        <w:t xml:space="preserve">Kenya Nairobi</w:t>
      </w:r>
      <w:r>
        <w:t xml:space="preserve">.</w:t>
      </w:r>
    </w:p>
    <w:p>
      <w:pPr>
        <w:numPr>
          <w:ilvl w:val="0"/>
          <w:numId w:val="1002"/>
        </w:numPr>
        <w:pStyle w:val="Compact"/>
      </w:pPr>
      <w:r>
        <w:t xml:space="preserve">Payment shall be made in Kenyan Shillings (KES) via bank transfer to the account of East African Trade Compliance Ltd., domiciled in Nairobi, Kenya.</w:t>
      </w:r>
    </w:p>
    <w:p>
      <w:pPr>
        <w:numPr>
          <w:ilvl w:val="0"/>
          <w:numId w:val="1002"/>
        </w:numPr>
        <w:pStyle w:val="Compact"/>
      </w:pPr>
      <w:r>
        <w:t xml:space="preserve">The monthly retainer fee for the</w:t>
      </w:r>
      <w:r>
        <w:t xml:space="preserve"> </w:t>
      </w:r>
      <w:r>
        <w:t xml:space="preserve">Customs Officer</w:t>
      </w:r>
      <w:r>
        <w:t xml:space="preserve"> </w:t>
      </w:r>
      <w:r>
        <w:t xml:space="preserve">is payable in advance on the 1st of each calendar month. Per-entry and per-shipment fees are invoiced monthly with payment due within fourteen (14) days of invoice issuance.</w:t>
      </w:r>
    </w:p>
    <w:p>
      <w:pPr>
        <w:numPr>
          <w:ilvl w:val="0"/>
          <w:numId w:val="1002"/>
        </w:numPr>
        <w:pStyle w:val="Compact"/>
      </w:pPr>
      <w:r>
        <w:t xml:space="preserve">A late payment penalty of 2% per month on outstanding balances shall apply after the due date, in accordance with Kenyan commercial law.</w:t>
      </w:r>
    </w:p>
    <w:p>
      <w:pPr>
        <w:numPr>
          <w:ilvl w:val="0"/>
          <w:numId w:val="1002"/>
        </w:numPr>
        <w:pStyle w:val="Compact"/>
      </w:pPr>
      <w:r>
        <w:t xml:space="preserve">All fees quoted are exclusive of any government levies, port charges, or third-party costs that may be directly assessed by the Kenya Revenue Authority or other statutory bodies.</w:t>
      </w:r>
    </w:p>
    <w:bookmarkEnd w:id="24"/>
    <w:bookmarkStart w:id="25" w:name="terms-and-conditions-of-engagement"/>
    <w:p>
      <w:pPr>
        <w:pStyle w:val="Heading2"/>
      </w:pPr>
      <w:r>
        <w:t xml:space="preserve">5. Terms and Conditions of Engagement</w:t>
      </w:r>
    </w:p>
    <w:p>
      <w:pPr>
        <w:numPr>
          <w:ilvl w:val="0"/>
          <w:numId w:val="1003"/>
        </w:numPr>
        <w:pStyle w:val="Compact"/>
      </w:pPr>
      <w:r>
        <w:t xml:space="preserve">The</w:t>
      </w:r>
      <w:r>
        <w:t xml:space="preserve"> </w:t>
      </w:r>
      <w:r>
        <w:t xml:space="preserve">Customs Officer</w:t>
      </w:r>
      <w:r>
        <w:t xml:space="preserve"> </w:t>
      </w:r>
      <w:r>
        <w:t xml:space="preserve">assigned under this</w:t>
      </w:r>
      <w:r>
        <w:t xml:space="preserve"> </w:t>
      </w:r>
      <w:r>
        <w:t xml:space="preserve">Quotation Estimate</w:t>
      </w:r>
      <w:r>
        <w:t xml:space="preserve"> </w:t>
      </w:r>
      <w:r>
        <w:t xml:space="preserve">shall be a licensed customs agent registered with the Kenya Revenue Authority and shall maintain all professional indemnity insurance as required by Kenyan law.</w:t>
      </w:r>
    </w:p>
    <w:p>
      <w:pPr>
        <w:numPr>
          <w:ilvl w:val="0"/>
          <w:numId w:val="1003"/>
        </w:numPr>
        <w:pStyle w:val="Compact"/>
      </w:pPr>
      <w:r>
        <w:t xml:space="preserve">The client agrees to provide all necessary commercial documents (invoices, packing lists, bills of lading, certificates of origin, and KEBS inspection certificates) in a timely manner to facilitate efficient customs clearance in</w:t>
      </w:r>
      <w:r>
        <w:t xml:space="preserve"> </w:t>
      </w:r>
      <w:r>
        <w:t xml:space="preserve">Kenya Nairobi</w:t>
      </w:r>
      <w:r>
        <w:t xml:space="preserve">.</w:t>
      </w:r>
    </w:p>
    <w:p>
      <w:pPr>
        <w:numPr>
          <w:ilvl w:val="0"/>
          <w:numId w:val="1003"/>
        </w:numPr>
        <w:pStyle w:val="Compact"/>
      </w:pPr>
      <w:r>
        <w:t xml:space="preserve">Either party may terminate this engagement with thirty (30) days' written notice. Upon termination, all fees for services rendered up to the termination date shall be due and payable.</w:t>
      </w:r>
    </w:p>
    <w:p>
      <w:pPr>
        <w:numPr>
          <w:ilvl w:val="0"/>
          <w:numId w:val="1003"/>
        </w:numPr>
        <w:pStyle w:val="Compact"/>
      </w:pPr>
      <w:r>
        <w:t xml:space="preserve">East African Trade Compliance Ltd. shall maintain strict confidentiality of all client trade data, pricing information, and commercial documents in compliance with the Data Protection Act, 2019 of Kenya.</w:t>
      </w:r>
    </w:p>
    <w:p>
      <w:pPr>
        <w:numPr>
          <w:ilvl w:val="0"/>
          <w:numId w:val="1003"/>
        </w:numPr>
        <w:pStyle w:val="Compact"/>
      </w:pPr>
      <w:r>
        <w:t xml:space="preserve">This</w:t>
      </w:r>
      <w:r>
        <w:t xml:space="preserve"> </w:t>
      </w:r>
      <w:r>
        <w:t xml:space="preserve">Quotation Estimate</w:t>
      </w:r>
      <w:r>
        <w:t xml:space="preserve"> </w:t>
      </w:r>
      <w:r>
        <w:t xml:space="preserve">does not constitute a binding contract until formally accepted in writing by both parties and countersigned below.</w:t>
      </w:r>
    </w:p>
    <w:p>
      <w:pPr>
        <w:numPr>
          <w:ilvl w:val="0"/>
          <w:numId w:val="1003"/>
        </w:numPr>
        <w:pStyle w:val="Compact"/>
      </w:pPr>
      <w:r>
        <w:t xml:space="preserve">All disputes arising from this engagement shall be resolved through arbitration in Nairobi, Kenya, in accordance with the Arbitration Act, 1995 of Kenya.</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a</w:t>
      </w:r>
      <w:r>
        <w:t xml:space="preserve"> </w:t>
      </w:r>
      <w:r>
        <w:t xml:space="preserve">Customs Officer</w:t>
      </w:r>
      <w:r>
        <w:t xml:space="preserve"> </w:t>
      </w:r>
      <w:r>
        <w:t xml:space="preserve">in</w:t>
      </w:r>
      <w:r>
        <w:t xml:space="preserve"> </w:t>
      </w:r>
      <w:r>
        <w:t xml:space="preserve">Kenya Nairobi</w:t>
      </w:r>
      <w:r>
        <w:t xml:space="preserve">.</w:t>
      </w:r>
    </w:p>
    <w:p>
      <w:pPr>
        <w:pStyle w:val="BodyText"/>
      </w:pPr>
      <w:r>
        <w:rPr>
          <w:bCs/>
          <w:b/>
        </w:rPr>
        <w:t xml:space="preserve">For: East African Trade Compliance Ltd.</w:t>
      </w:r>
      <w:r>
        <w:br/>
      </w:r>
      <w:r>
        <w:t xml:space="preserve">Name: ___________________________</w:t>
      </w:r>
      <w:r>
        <w:br/>
      </w:r>
      <w:r>
        <w:t xml:space="preserve">Title: Managing Director</w:t>
      </w:r>
      <w:r>
        <w:br/>
      </w:r>
      <w:r>
        <w:t xml:space="preserve">Date: ___________________________</w:t>
      </w:r>
    </w:p>
    <w:p>
      <w:pPr>
        <w:pStyle w:val="BodyText"/>
      </w:pPr>
      <w:r>
        <w:rPr>
          <w:bCs/>
          <w:b/>
        </w:rPr>
        <w:t xml:space="preserve">For: [Client Company Name]</w:t>
      </w:r>
      <w:r>
        <w:br/>
      </w:r>
      <w:r>
        <w:t xml:space="preserve">Name: ___________________________</w:t>
      </w:r>
      <w:r>
        <w:br/>
      </w:r>
      <w:r>
        <w:t xml:space="preserve">Title: ___________________________</w:t>
      </w:r>
      <w:r>
        <w:br/>
      </w:r>
      <w:r>
        <w:t xml:space="preserve">Date: ___________________________</w:t>
      </w:r>
    </w:p>
    <w:p>
      <w:pPr>
        <w:pStyle w:val="BodyText"/>
      </w:pPr>
      <w:r>
        <w:rPr>
          <w:bCs/>
          <w:b/>
        </w:rPr>
        <w:t xml:space="preserve">Note:</w:t>
      </w:r>
      <w:r>
        <w:t xml:space="preserve"> </w:t>
      </w:r>
      <w:r>
        <w:t xml:space="preserve">This Quotation Estimate is prepared exclusively for the named client and is non-transferable. All services described herein are to be performed within the jurisdiction of Kenya Nairobi and its designated customs zones. East African Trade Compliance Ltd. is registered under the Companies Act, 2015 of Kenya (Registration No. 123456) and holds a valid Customs Agent License issued by the Kenya Revenue Authority. For queries regarding this Quotation Estimate or to request a revised estimate for additional Customs Officer services in Kenya Nairobi, please contact our office at +254-700-000-000 or email: quotations@eastaftradeltd.co.ke.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Customs Officer Services - Kenya Nairobi</dc:title>
  <dc:creator/>
  <dc:language>en</dc:language>
  <cp:keywords/>
  <dcterms:created xsi:type="dcterms:W3CDTF">2026-10-10T07:25:57Z</dcterms:created>
  <dcterms:modified xsi:type="dcterms:W3CDTF">2026-10-10T07:25:57Z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