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1" w:name="quotation-estimate"/>
    <w:p>
      <w:pPr>
        <w:pStyle w:val="Heading1"/>
      </w:pPr>
      <w:r>
        <w:t xml:space="preserve">QUOTATION ESTIMATE</w:t>
      </w:r>
    </w:p>
    <w:bookmarkStart w:id="20" w:name="Xcd9a18ab65d0df71cf78c2b9a74c103aeca6401"/>
    <w:p>
      <w:pPr>
        <w:pStyle w:val="Heading2"/>
      </w:pPr>
      <w:r>
        <w:t xml:space="preserve">Professional Customs Officer Services — Philippines Manila</w:t>
      </w:r>
    </w:p>
    <w:p>
      <w:pPr>
        <w:pStyle w:val="FirstParagraph"/>
      </w:pPr>
      <w:r>
        <w:t xml:space="preserve">Meridian Trade Compliance &amp; Logistics Solutions, Inc.</w:t>
      </w:r>
      <w:r>
        <w:br/>
      </w:r>
      <w:r>
        <w:t xml:space="preserve">128th Floor, The Atrium Tower, 10011 Paseo de Roxas, Makati City, Philippines Manila</w:t>
      </w:r>
      <w:r>
        <w:br/>
      </w:r>
      <w:r>
        <w:t xml:space="preserve">Tel: +63 (2) 8888-4521 | Email: quotations@meridiantrade.ph | TIN: 000-123-456-789</w:t>
      </w:r>
    </w:p>
    <w:bookmarkEnd w:id="20"/>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QTE-2025-PHL-00472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Global Freight &amp; Distribution Corporation</w:t>
            </w:r>
            <w:r>
              <w:br/>
            </w:r>
            <w:r>
              <w:t xml:space="preserve">Attn: Mr. Ricardo S. Villanueva, Director of Import Operations</w:t>
            </w:r>
            <w:r>
              <w:br/>
            </w:r>
            <w:r>
              <w:t xml:space="preserve">Unit 4501, 45th Floor, One Ayala Center, Makati City, Philippines Manila</w:t>
            </w:r>
          </w:p>
        </w:tc>
      </w:tr>
      <w:tr>
        <w:tc>
          <w:tcPr/>
          <w:p>
            <w:pPr>
              <w:pStyle w:val="Compact"/>
              <w:jc w:val="left"/>
            </w:pPr>
            <w:r>
              <w:t xml:space="preserve">Service Location:</w:t>
            </w:r>
          </w:p>
        </w:tc>
        <w:tc>
          <w:tcPr/>
          <w:p>
            <w:pPr>
              <w:pStyle w:val="Compact"/>
              <w:jc w:val="left"/>
            </w:pPr>
            <w:r>
              <w:t xml:space="preserve">Port of Manila, Manila International Airport (MIA), and designated bonded warehouses within the Philippines Manila metropolitan area</w:t>
            </w:r>
          </w:p>
        </w:tc>
      </w:tr>
      <w:tr>
        <w:tc>
          <w:tcPr/>
          <w:p>
            <w:pPr>
              <w:pStyle w:val="Compact"/>
              <w:jc w:val="left"/>
            </w:pPr>
            <w:r>
              <w:t xml:space="preserve">Currency:</w:t>
            </w:r>
          </w:p>
        </w:tc>
        <w:tc>
          <w:tcPr/>
          <w:p>
            <w:pPr>
              <w:pStyle w:val="Compact"/>
              <w:jc w:val="left"/>
            </w:pPr>
            <w:r>
              <w:t xml:space="preserve">Philippine Peso (PHP)</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is issued by Meridian Trade Compliance &amp; Logistics Solutions, Inc. in response to the formal request submitted by Global Freight &amp; Distribution Corporation for the engagement of a licensed Customs Officer to manage, process, and oversee all import and export customs clearance activities within the Philippines Manila jurisdiction. The scope of this Quotation Estimate encompasses the full spectrum of duties typically performed by a Customs Officer operating under the authority of the Bureau of Customs (BOC) of the Republic of the Philippines, as well as ancillary trade compliance services required to ensure seamless movement of goods through the ports and airports of Philippines Manila.</w:t>
      </w:r>
    </w:p>
    <w:p>
      <w:pPr>
        <w:pStyle w:val="BodyText"/>
      </w:pPr>
      <w:r>
        <w:t xml:space="preserve">The Customs Officer services detailed herein are designed to provide our client with dedicated, on-site and remote support for customs documentation, tariff classification, duty assessment, inspection coordination, and regulatory compliance. All services will be rendered in strict accordance with the Customs Modernization and Tariff Act (CMTA), Republic Act No. 10863, and all implementing rules and regulations promulgated by the Bureau of Customs and the Department of Finance of the Philippines.</w:t>
      </w:r>
    </w:p>
    <w:bookmarkEnd w:id="22"/>
    <w:bookmarkStart w:id="23" w:name="X7131c711a8764df898bbb2412a2e1b63d8f8897"/>
    <w:p>
      <w:pPr>
        <w:pStyle w:val="Heading3"/>
      </w:pPr>
      <w:r>
        <w:t xml:space="preserve">2. Detailed Scope of Customs Officer Services</w:t>
      </w:r>
    </w:p>
    <w:p>
      <w:pPr>
        <w:pStyle w:val="FirstParagraph"/>
      </w:pPr>
      <w:r>
        <w:t xml:space="preserve">The following services are included under this Quotation Estimate for the engagement of a Customs Officer in the Philippines Manila area:</w:t>
      </w:r>
    </w:p>
    <w:p>
      <w:pPr>
        <w:numPr>
          <w:ilvl w:val="0"/>
          <w:numId w:val="1001"/>
        </w:numPr>
        <w:pStyle w:val="Compact"/>
      </w:pPr>
      <w:r>
        <w:rPr>
          <w:bCs/>
          <w:b/>
        </w:rPr>
        <w:t xml:space="preserve">Customs Declaration Filing:</w:t>
      </w:r>
      <w:r>
        <w:t xml:space="preserve"> </w:t>
      </w:r>
      <w:r>
        <w:t xml:space="preserve">Preparation, verification, and electronic submission of Customs Declaration Forms (CDF) via the Automated Customs Information System (ACIS) for all import and export shipments processed through the Port of Manila, Manila International Airport, and the Manila International Container Terminal (MICT).</w:t>
      </w:r>
    </w:p>
    <w:p>
      <w:pPr>
        <w:numPr>
          <w:ilvl w:val="0"/>
          <w:numId w:val="1001"/>
        </w:numPr>
        <w:pStyle w:val="Compact"/>
      </w:pPr>
      <w:r>
        <w:rPr>
          <w:bCs/>
          <w:b/>
        </w:rPr>
        <w:t xml:space="preserve">Tariff Classification and Duty Assessment:</w:t>
      </w:r>
      <w:r>
        <w:t xml:space="preserve"> </w:t>
      </w:r>
      <w:r>
        <w:t xml:space="preserve">Accurate classification of goods under the Harmonized System (HS) nomenclature, computation of applicable duties, taxes, and fees, and preparation of supporting documentation for the Customs Officer to present during examination.</w:t>
      </w:r>
    </w:p>
    <w:p>
      <w:pPr>
        <w:numPr>
          <w:ilvl w:val="0"/>
          <w:numId w:val="1001"/>
        </w:numPr>
        <w:pStyle w:val="Compact"/>
      </w:pPr>
      <w:r>
        <w:rPr>
          <w:bCs/>
          <w:b/>
        </w:rPr>
        <w:t xml:space="preserve">Inspection Coordination:</w:t>
      </w:r>
      <w:r>
        <w:t xml:space="preserve"> </w:t>
      </w:r>
      <w:r>
        <w:t xml:space="preserve">Liaison with BOC officers at the Philippines Manila ports and airports to schedule, attend, and resolve physical inspections, X-ray scans, and document reviews. The Customs Officer will be present at all critical inspection points.</w:t>
      </w:r>
    </w:p>
    <w:p>
      <w:pPr>
        <w:numPr>
          <w:ilvl w:val="0"/>
          <w:numId w:val="1001"/>
        </w:numPr>
        <w:pStyle w:val="Compact"/>
      </w:pPr>
      <w:r>
        <w:rPr>
          <w:bCs/>
          <w:b/>
        </w:rPr>
        <w:t xml:space="preserve">Bonded Warehouse Management:</w:t>
      </w:r>
      <w:r>
        <w:t xml:space="preserve"> </w:t>
      </w:r>
      <w:r>
        <w:t xml:space="preserve">Oversight of goods stored in licensed bonded warehouses within the Philippines Manila customs zone, including inventory reconciliation, transfer documentation, and release processing.</w:t>
      </w:r>
    </w:p>
    <w:p>
      <w:pPr>
        <w:numPr>
          <w:ilvl w:val="0"/>
          <w:numId w:val="1001"/>
        </w:numPr>
        <w:pStyle w:val="Compact"/>
      </w:pPr>
      <w:r>
        <w:rPr>
          <w:bCs/>
          <w:b/>
        </w:rPr>
        <w:t xml:space="preserve">Regulatory Compliance and Reporting:</w:t>
      </w:r>
      <w:r>
        <w:t xml:space="preserve"> </w:t>
      </w:r>
      <w:r>
        <w:t xml:space="preserve">Monthly and quarterly compliance reporting to the Bureau of Customs, preparation of statistical returns, and advisory services on changes in Philippine trade regulations, sanctions, and restricted goods lists.</w:t>
      </w:r>
    </w:p>
    <w:p>
      <w:pPr>
        <w:numPr>
          <w:ilvl w:val="0"/>
          <w:numId w:val="1001"/>
        </w:numPr>
        <w:pStyle w:val="Compact"/>
      </w:pPr>
      <w:r>
        <w:rPr>
          <w:bCs/>
          <w:b/>
        </w:rPr>
        <w:t xml:space="preserve">Dispute Resolution and Appeals:</w:t>
      </w:r>
      <w:r>
        <w:t xml:space="preserve"> </w:t>
      </w:r>
      <w:r>
        <w:t xml:space="preserve">Representation of the client before the Customs Officer and BOC adjudication panels in the event of classification disputes, duty assessments, or seizure proceedings within the Philippines Manila jurisdiction.</w:t>
      </w:r>
    </w:p>
    <w:p>
      <w:pPr>
        <w:numPr>
          <w:ilvl w:val="0"/>
          <w:numId w:val="1001"/>
        </w:numPr>
        <w:pStyle w:val="Compact"/>
      </w:pPr>
      <w:r>
        <w:rPr>
          <w:bCs/>
          <w:b/>
        </w:rPr>
        <w:t xml:space="preserve">On-Site and Remote Support:</w:t>
      </w:r>
      <w:r>
        <w:t xml:space="preserve"> </w:t>
      </w:r>
      <w:r>
        <w:t xml:space="preserve">A dedicated Customs Officer will be available on-site at the Port of Manila and Manila International Airport during standard business hours (Monday to Friday, 8:00 AM to 6:00 PM) and on a remote basis for after-hours and weekend emergencies.</w:t>
      </w:r>
    </w:p>
    <w:bookmarkEnd w:id="23"/>
    <w:bookmarkStart w:id="24" w:name="Xb23d96fdb737d4060151d20dbe853fcaa5f10ee"/>
    <w:p>
      <w:pPr>
        <w:pStyle w:val="Heading3"/>
      </w:pPr>
      <w:r>
        <w:t xml:space="preserve">3. Pricing Breakdown — Quotation Estimate Summary</w:t>
      </w:r>
    </w:p>
    <w:p>
      <w:pPr>
        <w:pStyle w:val="FirstParagraph"/>
      </w:pPr>
      <w:r>
        <w:t xml:space="preserve">The following table presents the itemized cost structure for the Customs Officer engagement as part of this Quotation Estimate. All prices are quoted in Philippine Pesos (PHP) and are exclusive of applicable Value Added Tax (VAT) at the prevailing rate of 12%.</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Monthly retainer for dedicated Customs Officer (on-site + remote)</w:t>
            </w:r>
          </w:p>
        </w:tc>
        <w:tc>
          <w:tcPr/>
          <w:p>
            <w:pPr>
              <w:pStyle w:val="Compact"/>
              <w:jc w:val="left"/>
            </w:pPr>
            <w:r>
              <w:t xml:space="preserve">Monthly (12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Customs Declaration filing (per shipment, up to 150 shipments/month)</w:t>
            </w:r>
          </w:p>
        </w:tc>
        <w:tc>
          <w:tcPr/>
          <w:p>
            <w:pPr>
              <w:pStyle w:val="Compact"/>
              <w:jc w:val="left"/>
            </w:pPr>
            <w:r>
              <w:t xml:space="preserve">Per shipment</w:t>
            </w:r>
          </w:p>
        </w:tc>
        <w:tc>
          <w:tcPr/>
          <w:p>
            <w:pPr>
              <w:pStyle w:val="Compact"/>
              <w:jc w:val="left"/>
            </w:pPr>
            <w:r>
              <w:t xml:space="preserve">2,500.00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Tariff classification and duty assessment advisory</w:t>
            </w:r>
          </w:p>
        </w:tc>
        <w:tc>
          <w:tcPr/>
          <w:p>
            <w:pPr>
              <w:pStyle w:val="Compact"/>
              <w:jc w:val="left"/>
            </w:pPr>
            <w:r>
              <w:t xml:space="preserve">Per engagement (est. 40/month)</w:t>
            </w:r>
          </w:p>
        </w:tc>
        <w:tc>
          <w:tcPr/>
          <w:p>
            <w:pPr>
              <w:pStyle w:val="Compact"/>
              <w:jc w:val="left"/>
            </w:pPr>
            <w:r>
              <w:t xml:space="preserve">1,800.00</w:t>
            </w:r>
          </w:p>
        </w:tc>
        <w:tc>
          <w:tcPr/>
          <w:p>
            <w:pPr>
              <w:pStyle w:val="Compact"/>
              <w:jc w:val="left"/>
            </w:pPr>
            <w:r>
              <w:t xml:space="preserve">864,000.00</w:t>
            </w:r>
          </w:p>
        </w:tc>
      </w:tr>
      <w:tr>
        <w:tc>
          <w:tcPr/>
          <w:p>
            <w:pPr>
              <w:pStyle w:val="Compact"/>
              <w:jc w:val="left"/>
            </w:pPr>
            <w:r>
              <w:t xml:space="preserve">4</w:t>
            </w:r>
          </w:p>
        </w:tc>
        <w:tc>
          <w:tcPr/>
          <w:p>
            <w:pPr>
              <w:pStyle w:val="Compact"/>
              <w:jc w:val="left"/>
            </w:pPr>
            <w:r>
              <w:t xml:space="preserve">Inspection coordination and on-site representation at Philippines Manila ports</w:t>
            </w:r>
          </w:p>
        </w:tc>
        <w:tc>
          <w:tcPr/>
          <w:p>
            <w:pPr>
              <w:pStyle w:val="Compact"/>
              <w:jc w:val="left"/>
            </w:pPr>
            <w:r>
              <w:t xml:space="preserve">Per incident (est. 25/month)</w:t>
            </w:r>
          </w:p>
        </w:tc>
        <w:tc>
          <w:tcPr/>
          <w:p>
            <w:pPr>
              <w:pStyle w:val="Compact"/>
              <w:jc w:val="left"/>
            </w:pPr>
            <w:r>
              <w:t xml:space="preserve">3,200.00</w:t>
            </w:r>
          </w:p>
        </w:tc>
        <w:tc>
          <w:tcPr/>
          <w:p>
            <w:pPr>
              <w:pStyle w:val="Compact"/>
              <w:jc w:val="left"/>
            </w:pPr>
            <w:r>
              <w:t xml:space="preserve">960,000.00</w:t>
            </w:r>
          </w:p>
        </w:tc>
      </w:tr>
      <w:tr>
        <w:tc>
          <w:tcPr/>
          <w:p>
            <w:pPr>
              <w:pStyle w:val="Compact"/>
              <w:jc w:val="left"/>
            </w:pPr>
            <w:r>
              <w:t xml:space="preserve">5</w:t>
            </w:r>
          </w:p>
        </w:tc>
        <w:tc>
          <w:tcPr/>
          <w:p>
            <w:pPr>
              <w:pStyle w:val="Compact"/>
              <w:jc w:val="left"/>
            </w:pPr>
            <w:r>
              <w:t xml:space="preserve">Bonded warehouse oversight and inventory management</w:t>
            </w:r>
          </w:p>
        </w:tc>
        <w:tc>
          <w:tcPr/>
          <w:p>
            <w:pPr>
              <w:pStyle w:val="Compact"/>
              <w:jc w:val="left"/>
            </w:pPr>
            <w:r>
              <w:t xml:space="preserve">Monthly</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6</w:t>
            </w:r>
          </w:p>
        </w:tc>
        <w:tc>
          <w:tcPr/>
          <w:p>
            <w:pPr>
              <w:pStyle w:val="Compact"/>
              <w:jc w:val="left"/>
            </w:pPr>
            <w:r>
              <w:t xml:space="preserve">Regulatory compliance reporting and advisory</w:t>
            </w:r>
          </w:p>
        </w:tc>
        <w:tc>
          <w:tcPr/>
          <w:p>
            <w:pPr>
              <w:pStyle w:val="Compact"/>
              <w:jc w:val="left"/>
            </w:pPr>
            <w:r>
              <w:t xml:space="preserve">Quarterly</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7</w:t>
            </w:r>
          </w:p>
        </w:tc>
        <w:tc>
          <w:tcPr/>
          <w:p>
            <w:pPr>
              <w:pStyle w:val="Compact"/>
              <w:jc w:val="left"/>
            </w:pPr>
            <w:r>
              <w:t xml:space="preserve">Dispute resolution and BOC appeal representation</w:t>
            </w:r>
          </w:p>
        </w:tc>
        <w:tc>
          <w:tcPr/>
          <w:p>
            <w:pPr>
              <w:pStyle w:val="Compact"/>
              <w:jc w:val="left"/>
            </w:pPr>
            <w:r>
              <w:t xml:space="preserve">Per case (est. 4/year)</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8</w:t>
            </w:r>
          </w:p>
        </w:tc>
        <w:tc>
          <w:tcPr/>
          <w:p>
            <w:pPr>
              <w:pStyle w:val="Compact"/>
              <w:jc w:val="left"/>
            </w:pPr>
            <w:r>
              <w:t xml:space="preserve">After-hours and weekend emergency support (standby)</w:t>
            </w:r>
          </w:p>
        </w:tc>
        <w:tc>
          <w:tcPr/>
          <w:p>
            <w:pPr>
              <w:pStyle w:val="Compact"/>
              <w:jc w:val="left"/>
            </w:pPr>
            <w:r>
              <w:t xml:space="preserve">Monthly</w:t>
            </w:r>
          </w:p>
        </w:tc>
        <w:tc>
          <w:tcPr/>
          <w:p>
            <w:pPr>
              <w:pStyle w:val="Compact"/>
              <w:jc w:val="left"/>
            </w:pPr>
            <w:r>
              <w:t xml:space="preserve">15,000.00</w:t>
            </w:r>
          </w:p>
        </w:tc>
        <w:tc>
          <w:tcPr/>
          <w:p>
            <w:pPr>
              <w:pStyle w:val="Compact"/>
              <w:jc w:val="left"/>
            </w:pPr>
            <w:r>
              <w:t xml:space="preserve">180,000.00</w:t>
            </w:r>
          </w:p>
        </w:tc>
      </w:tr>
      <w:tr>
        <w:tc>
          <w:tcPr>
            <w:gridSpan w:val="4"/>
          </w:tcPr>
          <w:p>
            <w:pPr>
              <w:pStyle w:val="Compact"/>
              <w:jc w:val="right"/>
            </w:pPr>
            <w:r>
              <w:t xml:space="preserve">Subtotal (Annual)</w:t>
            </w:r>
          </w:p>
        </w:tc>
        <w:tc>
          <w:tcPr/>
          <w:p>
            <w:pPr>
              <w:pStyle w:val="Compact"/>
              <w:jc w:val="left"/>
            </w:pPr>
            <w:r>
              <w:t xml:space="preserve">4,254,000.00</w:t>
            </w:r>
          </w:p>
        </w:tc>
      </w:tr>
      <w:tr>
        <w:tc>
          <w:tcPr>
            <w:gridSpan w:val="4"/>
          </w:tcPr>
          <w:p>
            <w:pPr>
              <w:pStyle w:val="Compact"/>
              <w:jc w:val="right"/>
            </w:pPr>
            <w:r>
              <w:t xml:space="preserve">VAT (12%)</w:t>
            </w:r>
          </w:p>
        </w:tc>
        <w:tc>
          <w:tcPr/>
          <w:p>
            <w:pPr>
              <w:pStyle w:val="Compact"/>
              <w:jc w:val="left"/>
            </w:pPr>
            <w:r>
              <w:t xml:space="preserve">510,480.00</w:t>
            </w:r>
          </w:p>
        </w:tc>
      </w:tr>
      <w:tr>
        <w:tc>
          <w:tcPr>
            <w:gridSpan w:val="4"/>
          </w:tcPr>
          <w:p>
            <w:pPr>
              <w:pStyle w:val="Compact"/>
              <w:jc w:val="right"/>
            </w:pPr>
            <w:r>
              <w:t xml:space="preserve">TOTAL ANNUAL AMOUNT (PHP)</w:t>
            </w:r>
          </w:p>
        </w:tc>
        <w:tc>
          <w:tcPr/>
          <w:p>
            <w:pPr>
              <w:pStyle w:val="Compact"/>
              <w:jc w:val="left"/>
            </w:pPr>
            <w:r>
              <w:t xml:space="preserve">4,764,480.00</w:t>
            </w:r>
          </w:p>
        </w:tc>
      </w:tr>
    </w:tbl>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thirty (30) calendar days from the date of issue. Beyond this period, pricing may be subject to revision based on prevailing labor costs, regulatory changes, or market conditions in the Philippines Manila area.</w:t>
      </w:r>
    </w:p>
    <w:p>
      <w:pPr>
        <w:numPr>
          <w:ilvl w:val="0"/>
          <w:numId w:val="1002"/>
        </w:numPr>
        <w:pStyle w:val="Compact"/>
      </w:pPr>
      <w:r>
        <w:t xml:space="preserve">Payment terms: 50% of the monthly retainer shall be due upon the first business day of each month; the remaining 50% shall be due on the fifteenth (15th) day. Per-shipment and per-incident charges shall be invoiced monthly and payable within fifteen (15) days from the date of invoice.</w:t>
      </w:r>
    </w:p>
    <w:p>
      <w:pPr>
        <w:numPr>
          <w:ilvl w:val="0"/>
          <w:numId w:val="1002"/>
        </w:numPr>
        <w:pStyle w:val="Compact"/>
      </w:pPr>
      <w:r>
        <w:t xml:space="preserve">The Customs Officer engaged under this Quotation Estimate must hold a valid Customs Broker's License issued by the Bureau of Customs and must be registered with the Philippine Customs Brokers Association (PCBA). Proof of licensure shall be provided prior to commencement of services.</w:t>
      </w:r>
    </w:p>
    <w:p>
      <w:pPr>
        <w:numPr>
          <w:ilvl w:val="0"/>
          <w:numId w:val="1002"/>
        </w:numPr>
        <w:pStyle w:val="Compact"/>
      </w:pPr>
      <w:r>
        <w:t xml:space="preserve">All services shall be performed in compliance with the Data Privacy Act of 2012 (Republic Act No. 10173) and applicable BOC regulations governing the handling of customs documentation within the Philippines Manila customs territory.</w:t>
      </w:r>
    </w:p>
    <w:p>
      <w:pPr>
        <w:numPr>
          <w:ilvl w:val="0"/>
          <w:numId w:val="1002"/>
        </w:numPr>
        <w:pStyle w:val="Compact"/>
      </w:pPr>
      <w:r>
        <w:t xml:space="preserve">Either party may terminate this engagement with thirty (30) days' written notice. In the event of early termination, all services rendered up to the termination date shall be billed in full.</w:t>
      </w:r>
    </w:p>
    <w:p>
      <w:pPr>
        <w:numPr>
          <w:ilvl w:val="0"/>
          <w:numId w:val="1002"/>
        </w:numPr>
        <w:pStyle w:val="Compact"/>
      </w:pPr>
      <w:r>
        <w:t xml:space="preserve">This Quotation Estimate does not constitute a binding contract. A formal Service Agreement must be executed by both parties prior to the commencement of any Customs Officer services.</w:t>
      </w:r>
    </w:p>
    <w:p>
      <w:pPr>
        <w:numPr>
          <w:ilvl w:val="0"/>
          <w:numId w:val="1002"/>
        </w:numPr>
        <w:pStyle w:val="Compact"/>
      </w:pPr>
      <w:r>
        <w:t xml:space="preserve">All disputes arising from this Quotation Estimate or the subsequent Service Agreement shall be resolved through amicable negotiation, failing which, through arbitration under the rules of the Philippine Dispute Resolution Center, Inc. (PDRCI) in the Philippines Manila jurisdiction.</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a Customs Officer in the Philippines Manila area. This signature constitutes a formal request to proceed with the preparation of a definitive Service Agreement.</w:t>
      </w:r>
    </w:p>
    <w:p>
      <w:pPr>
        <w:pStyle w:val="BodyText"/>
      </w:pPr>
      <w:r>
        <w:rPr>
          <w:bCs/>
          <w:b/>
        </w:rPr>
        <w:t xml:space="preserve">For: Meridian Trade Compliance &amp; Logistics Solutions, Inc.</w:t>
      </w:r>
    </w:p>
    <w:p>
      <w:pPr>
        <w:pStyle w:val="BodyText"/>
      </w:pPr>
      <w:r>
        <w:rPr>
          <w:bCs/>
          <w:b/>
        </w:rPr>
        <w:t xml:space="preserve">Atty. Elena M. Santos</w:t>
      </w:r>
      <w:r>
        <w:br/>
      </w:r>
      <w:r>
        <w:t xml:space="preserve">Chief Compliance Officer</w:t>
      </w:r>
      <w:r>
        <w:br/>
      </w:r>
      <w:r>
        <w:t xml:space="preserve">Date: _______________</w:t>
      </w:r>
    </w:p>
    <w:p>
      <w:pPr>
        <w:pStyle w:val="BodyText"/>
      </w:pPr>
      <w:r>
        <w:rPr>
          <w:bCs/>
          <w:b/>
        </w:rPr>
        <w:t xml:space="preserve">For: Global Freight &amp; Distribution Corporation</w:t>
      </w:r>
    </w:p>
    <w:p>
      <w:pPr>
        <w:pStyle w:val="BodyText"/>
      </w:pPr>
      <w:r>
        <w:rPr>
          <w:bCs/>
          <w:b/>
        </w:rPr>
        <w:t xml:space="preserve">Mr. Ricardo S. Villanueva</w:t>
      </w:r>
      <w:r>
        <w:br/>
      </w:r>
      <w:r>
        <w:t xml:space="preserve">Director of Import Operations</w:t>
      </w:r>
      <w:r>
        <w:br/>
      </w:r>
      <w:r>
        <w:t xml:space="preserve">Date: _______________</w:t>
      </w:r>
    </w:p>
    <w:p>
      <w:pPr>
        <w:pStyle w:val="BodyText"/>
      </w:pPr>
      <w:r>
        <w:t xml:space="preserve">This Quotation Estimate (Ref. No. QTE-2025-PHL-00472) is the property of Meridian Trade Compliance &amp; Logistics Solutions, Inc. and is issued exclusively for the use of the addressee. Unauthorized reproduction or distribution is prohibited.</w:t>
      </w:r>
      <w:r>
        <w:br/>
      </w:r>
      <w:r>
        <w:t xml:space="preserve">© 2025 Meridian Trade Compliance &amp; Logistics Solutions, Inc. | Philippines Manila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Philippines Manila</dc:title>
  <dc:creator/>
  <dc:language>en</dc:language>
  <cp:keywords/>
  <dcterms:created xsi:type="dcterms:W3CDTF">2026-10-10T06:44:23Z</dcterms:created>
  <dcterms:modified xsi:type="dcterms:W3CDTF">2026-10-10T06:44:23Z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