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Customs Brokerage &amp; Regulatory Compliance Division</w:t>
      </w:r>
    </w:p>
    <w:p>
      <w:pPr>
        <w:pStyle w:val="BodyText"/>
      </w:pPr>
      <w:r>
        <w:t xml:space="preserve">12 Nevsky Prospect, Saint Petersburg, 191025, Russian Federation</w:t>
      </w:r>
    </w:p>
    <w:p>
      <w:pPr>
        <w:pStyle w:val="BodyText"/>
      </w:pPr>
      <w:r>
        <w:t xml:space="preserve">Tel: +7 (812) 555-0142 | Email: estimates@spb-customs-services.ru</w:t>
      </w:r>
    </w:p>
    <w:bookmarkEnd w:id="20"/>
    <w:p>
      <w:pPr>
        <w:pStyle w:val="BodyText"/>
      </w:pPr>
      <w:r>
        <w:rPr>
          <w:bCs/>
          <w:b/>
        </w:rPr>
        <w:t xml:space="preserve">Quotation Estimate No.:</w:t>
      </w:r>
      <w:r>
        <w:t xml:space="preserve"> </w:t>
      </w:r>
      <w:r>
        <w:t xml:space="preserve">QTE-SPB-2025-0487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Russia Saint Petersburg</w:t>
      </w:r>
      <w:r>
        <w:br/>
      </w:r>
      <w:r>
        <w:rPr>
          <w:bCs/>
          <w:b/>
        </w:rPr>
        <w:t xml:space="preserve">INN / KPP:</w:t>
      </w:r>
      <w:r>
        <w:t xml:space="preserve"> </w:t>
      </w:r>
      <w:r>
        <w:t xml:space="preserve">[Tax Identification Number]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firm to provide a comprehensive and itemized cost breakdown for the engagement of a licensed</w:t>
      </w:r>
      <w:r>
        <w:t xml:space="preserve"> </w:t>
      </w:r>
      <w:r>
        <w:t xml:space="preserve">Customs Officer</w:t>
      </w:r>
      <w:r>
        <w:t xml:space="preserve"> </w:t>
      </w:r>
      <w:r>
        <w:t xml:space="preserve">to perform customs clearance, regulatory compliance, and trade facilitation services on behalf of the client within the jurisdiction of</w:t>
      </w:r>
      <w:r>
        <w:t xml:space="preserve"> </w:t>
      </w:r>
      <w:r>
        <w:t xml:space="preserve">Russia Saint Petersburg</w:t>
      </w:r>
      <w:r>
        <w:t xml:space="preserve">. This document serves as a formal proposal outlining the scope of work, applicable fees, payment schedule, and all conditions governing the professional relationship between the parties. The</w:t>
      </w:r>
      <w:r>
        <w:t xml:space="preserve"> </w:t>
      </w:r>
      <w:r>
        <w:t xml:space="preserve">Customs Officer</w:t>
      </w:r>
      <w:r>
        <w:t xml:space="preserve"> </w:t>
      </w:r>
      <w:r>
        <w:t xml:space="preserve">services described herein are tailored specifically to the operational requirements of importers, exporters, and transshipment operators conducting business through the Saint Petersburg customs territory.</w:t>
      </w:r>
    </w:p>
    <w:bookmarkEnd w:id="21"/>
    <w:bookmarkStart w:id="22" w:name="Xf658d5d146e484995c7b7f2898ad2b0a53514ae"/>
    <w:p>
      <w:pPr>
        <w:pStyle w:val="Heading2"/>
      </w:pPr>
      <w:r>
        <w:t xml:space="preserve">2. Scope of Services – Customs Officer Engagement</w:t>
      </w:r>
    </w:p>
    <w:p>
      <w:pPr>
        <w:pStyle w:val="FirstParagraph"/>
      </w:pPr>
      <w:r>
        <w:t xml:space="preserve">The</w:t>
      </w:r>
      <w:r>
        <w:t xml:space="preserve"> </w:t>
      </w:r>
      <w:r>
        <w:t xml:space="preserve">Customs Officer</w:t>
      </w:r>
      <w:r>
        <w:t xml:space="preserve"> </w:t>
      </w:r>
      <w:r>
        <w:t xml:space="preserve">assigned to this contract shall perform the following duties in accordance with the Customs Code of the Eurasian Economic Union (EAEU) and all applicable federal regulations of the Russian Federation:</w:t>
      </w:r>
    </w:p>
    <w:p>
      <w:pPr>
        <w:numPr>
          <w:ilvl w:val="0"/>
          <w:numId w:val="1001"/>
        </w:numPr>
        <w:pStyle w:val="Compact"/>
      </w:pPr>
      <w:r>
        <w:t xml:space="preserve">Preparation, review, and submission of customs declarations (single administrative document) for goods entering or leaving the</w:t>
      </w:r>
      <w:r>
        <w:t xml:space="preserve"> </w:t>
      </w:r>
      <w:r>
        <w:t xml:space="preserve">Russia Saint Petersburg</w:t>
      </w:r>
      <w:r>
        <w:t xml:space="preserve"> </w:t>
      </w:r>
      <w:r>
        <w:t xml:space="preserve">customs zone.</w:t>
      </w:r>
    </w:p>
    <w:p>
      <w:pPr>
        <w:numPr>
          <w:ilvl w:val="0"/>
          <w:numId w:val="1001"/>
        </w:numPr>
        <w:pStyle w:val="Compact"/>
      </w:pPr>
      <w:r>
        <w:t xml:space="preserve">Classification of goods under the TN VED (Commodity Nomenclature of Foreign Economic Activity) and determination of applicable tariff rates, VAT, and excise duties.</w:t>
      </w:r>
    </w:p>
    <w:p>
      <w:pPr>
        <w:numPr>
          <w:ilvl w:val="0"/>
          <w:numId w:val="1001"/>
        </w:numPr>
        <w:pStyle w:val="Compact"/>
      </w:pPr>
      <w:r>
        <w:t xml:space="preserve">Coordination with the Federal Customs Service (FCS) of Russia, Saint Petersburg Directorate, including on-site inspections and document verification.</w:t>
      </w:r>
    </w:p>
    <w:p>
      <w:pPr>
        <w:numPr>
          <w:ilvl w:val="0"/>
          <w:numId w:val="1001"/>
        </w:numPr>
        <w:pStyle w:val="Compact"/>
      </w:pPr>
      <w:r>
        <w:t xml:space="preserve">Management of preferential trade agreements, origin certificates, and duty relief applications.</w:t>
      </w:r>
    </w:p>
    <w:p>
      <w:pPr>
        <w:numPr>
          <w:ilvl w:val="0"/>
          <w:numId w:val="1001"/>
        </w:numPr>
        <w:pStyle w:val="Compact"/>
      </w:pPr>
      <w:r>
        <w:t xml:space="preserve">Advisory support on customs valuation, anti-dumping measures, and sanctions compliance relevant to the</w:t>
      </w:r>
      <w:r>
        <w:t xml:space="preserve"> </w:t>
      </w:r>
      <w:r>
        <w:t xml:space="preserve">Russia Saint Petersburg</w:t>
      </w:r>
      <w:r>
        <w:t xml:space="preserve"> </w:t>
      </w:r>
      <w:r>
        <w:t xml:space="preserve">port and airport terminals.</w:t>
      </w:r>
    </w:p>
    <w:p>
      <w:pPr>
        <w:numPr>
          <w:ilvl w:val="0"/>
          <w:numId w:val="1001"/>
        </w:numPr>
        <w:pStyle w:val="Compact"/>
      </w:pPr>
      <w:r>
        <w:t xml:space="preserve">Maintenance of customs records and provision of monthly compliance reports to the client.</w:t>
      </w:r>
    </w:p>
    <w:p>
      <w:pPr>
        <w:numPr>
          <w:ilvl w:val="0"/>
          <w:numId w:val="1001"/>
        </w:numPr>
        <w:pStyle w:val="Compact"/>
      </w:pPr>
      <w:r>
        <w:t xml:space="preserve">Representation of the client during customs audits, investigations, or dispute resolution proceedings.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Monthly retainer for dedicated</w:t>
            </w:r>
            <w:r>
              <w:t xml:space="preserve"> </w:t>
            </w:r>
            <w:r>
              <w:t xml:space="preserve">Customs Officer</w:t>
            </w:r>
            <w:r>
              <w:t xml:space="preserve"> </w:t>
            </w:r>
            <w:r>
              <w:t xml:space="preserve">(full-time, 8 hrs/day,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Customs declaration preparation and filing (per declaration)</w:t>
            </w:r>
          </w:p>
        </w:tc>
        <w:tc>
          <w:tcPr/>
          <w:p>
            <w:pPr>
              <w:pStyle w:val="Compact"/>
              <w:jc w:val="left"/>
            </w:pPr>
            <w:r>
              <w:t xml:space="preserve">Declaration</w:t>
            </w:r>
          </w:p>
        </w:tc>
        <w:tc>
          <w:tcPr/>
          <w:p>
            <w:pPr>
              <w:pStyle w:val="Compact"/>
              <w:jc w:val="left"/>
            </w:pPr>
            <w:r>
              <w:t xml:space="preserve">200</w:t>
            </w:r>
          </w:p>
        </w:tc>
        <w:tc>
          <w:tcPr/>
          <w:p>
            <w:pPr>
              <w:pStyle w:val="Compact"/>
              <w:jc w:val="left"/>
            </w:pPr>
            <w:r>
              <w:t xml:space="preserve">3,500</w:t>
            </w:r>
          </w:p>
        </w:tc>
        <w:tc>
          <w:tcPr/>
          <w:p>
            <w:pPr>
              <w:pStyle w:val="Compact"/>
              <w:jc w:val="left"/>
            </w:pPr>
            <w:r>
              <w:t xml:space="preserve">700,000</w:t>
            </w:r>
          </w:p>
        </w:tc>
      </w:tr>
      <w:tr>
        <w:tc>
          <w:tcPr/>
          <w:p>
            <w:pPr>
              <w:pStyle w:val="Compact"/>
              <w:jc w:val="left"/>
            </w:pPr>
            <w:r>
              <w:t xml:space="preserve">3</w:t>
            </w:r>
          </w:p>
        </w:tc>
        <w:tc>
          <w:tcPr/>
          <w:p>
            <w:pPr>
              <w:pStyle w:val="Compact"/>
              <w:jc w:val="left"/>
            </w:pPr>
            <w:r>
              <w:t xml:space="preserve">On-site presence at Saint Petersburg Port / Pulkovo Airport for physical inspection coordination</w:t>
            </w:r>
          </w:p>
        </w:tc>
        <w:tc>
          <w:tcPr/>
          <w:p>
            <w:pPr>
              <w:pStyle w:val="Compact"/>
              <w:jc w:val="left"/>
            </w:pPr>
            <w:r>
              <w:t xml:space="preserve">Visit</w:t>
            </w:r>
          </w:p>
        </w:tc>
        <w:tc>
          <w:tcPr/>
          <w:p>
            <w:pPr>
              <w:pStyle w:val="Compact"/>
              <w:jc w:val="left"/>
            </w:pPr>
            <w:r>
              <w:t xml:space="preserve">48</w:t>
            </w:r>
          </w:p>
        </w:tc>
        <w:tc>
          <w:tcPr/>
          <w:p>
            <w:pPr>
              <w:pStyle w:val="Compact"/>
              <w:jc w:val="left"/>
            </w:pPr>
            <w:r>
              <w:t xml:space="preserve">8,000</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Customs valuation advisory and tariff classification consultation</w:t>
            </w:r>
          </w:p>
        </w:tc>
        <w:tc>
          <w:tcPr/>
          <w:p>
            <w:pPr>
              <w:pStyle w:val="Compact"/>
              <w:jc w:val="left"/>
            </w:pPr>
            <w:r>
              <w:t xml:space="preserve">Hour</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Preferential origin certificate processing and EAEU trade agreement documentation</w:t>
            </w:r>
          </w:p>
        </w:tc>
        <w:tc>
          <w:tcPr/>
          <w:p>
            <w:pPr>
              <w:pStyle w:val="Compact"/>
              <w:jc w:val="left"/>
            </w:pPr>
            <w:r>
              <w:t xml:space="preserve">Certificate</w:t>
            </w:r>
          </w:p>
        </w:tc>
        <w:tc>
          <w:tcPr/>
          <w:p>
            <w:pPr>
              <w:pStyle w:val="Compact"/>
              <w:jc w:val="left"/>
            </w:pPr>
            <w:r>
              <w:t xml:space="preserve">80</w:t>
            </w:r>
          </w:p>
        </w:tc>
        <w:tc>
          <w:tcPr/>
          <w:p>
            <w:pPr>
              <w:pStyle w:val="Compact"/>
              <w:jc w:val="left"/>
            </w:pPr>
            <w:r>
              <w:t xml:space="preserve">2,800</w:t>
            </w:r>
          </w:p>
        </w:tc>
        <w:tc>
          <w:tcPr/>
          <w:p>
            <w:pPr>
              <w:pStyle w:val="Compact"/>
              <w:jc w:val="left"/>
            </w:pPr>
            <w:r>
              <w:t xml:space="preserve">224,000</w:t>
            </w:r>
          </w:p>
        </w:tc>
      </w:tr>
      <w:tr>
        <w:tc>
          <w:tcPr/>
          <w:p>
            <w:pPr>
              <w:pStyle w:val="Compact"/>
              <w:jc w:val="left"/>
            </w:pPr>
            <w:r>
              <w:t xml:space="preserve">6</w:t>
            </w:r>
          </w:p>
        </w:tc>
        <w:tc>
          <w:tcPr/>
          <w:p>
            <w:pPr>
              <w:pStyle w:val="Compact"/>
              <w:jc w:val="left"/>
            </w:pPr>
            <w:r>
              <w:t xml:space="preserve">Customs audit preparation, representation, and dispute resolution support</w:t>
            </w:r>
          </w:p>
        </w:tc>
        <w:tc>
          <w:tcPr/>
          <w:p>
            <w:pPr>
              <w:pStyle w:val="Compact"/>
              <w:jc w:val="left"/>
            </w:pPr>
            <w:r>
              <w:t xml:space="preserve">Case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Monthly compliance reporting and regulatory update briefing for</w:t>
            </w:r>
            <w:r>
              <w:t xml:space="preserve"> </w:t>
            </w:r>
            <w:r>
              <w:t xml:space="preserve">Russia Saint Petersburg</w:t>
            </w:r>
            <w:r>
              <w:t xml:space="preserve"> </w:t>
            </w:r>
            <w:r>
              <w:t xml:space="preserve">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8</w:t>
            </w:r>
          </w:p>
        </w:tc>
        <w:tc>
          <w:tcPr/>
          <w:p>
            <w:pPr>
              <w:pStyle w:val="Compact"/>
              <w:jc w:val="left"/>
            </w:pPr>
            <w:r>
              <w:t xml:space="preserve">Urgent / after-hours customs clearance support (weekends and public holidays)</w:t>
            </w:r>
          </w:p>
        </w:tc>
        <w:tc>
          <w:tcPr/>
          <w:p>
            <w:pPr>
              <w:pStyle w:val="Compact"/>
              <w:jc w:val="left"/>
            </w:pPr>
            <w:r>
              <w:t xml:space="preserve">Hour</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r>
        <w:tc>
          <w:tcPr>
            <w:gridSpan w:val="5"/>
          </w:tcPr>
          <w:p>
            <w:pPr>
              <w:pStyle w:val="Compact"/>
              <w:jc w:val="right"/>
            </w:pPr>
            <w:r>
              <w:t xml:space="preserve">Subtotal (RUB)</w:t>
            </w:r>
          </w:p>
        </w:tc>
        <w:tc>
          <w:tcPr/>
          <w:p>
            <w:pPr>
              <w:pStyle w:val="Compact"/>
              <w:jc w:val="left"/>
            </w:pPr>
            <w:r>
              <w:t xml:space="preserve">4,272,000</w:t>
            </w:r>
          </w:p>
        </w:tc>
      </w:tr>
      <w:tr>
        <w:tc>
          <w:tcPr>
            <w:gridSpan w:val="5"/>
          </w:tcPr>
          <w:p>
            <w:pPr>
              <w:pStyle w:val="Compact"/>
              <w:jc w:val="right"/>
            </w:pPr>
            <w:r>
              <w:t xml:space="preserve">VAT 20%</w:t>
            </w:r>
          </w:p>
        </w:tc>
        <w:tc>
          <w:tcPr/>
          <w:p>
            <w:pPr>
              <w:pStyle w:val="Compact"/>
              <w:jc w:val="left"/>
            </w:pPr>
            <w:r>
              <w:t xml:space="preserve">854,400</w:t>
            </w:r>
          </w:p>
        </w:tc>
      </w:tr>
      <w:tr>
        <w:tc>
          <w:tcPr>
            <w:gridSpan w:val="5"/>
          </w:tcPr>
          <w:p>
            <w:pPr>
              <w:pStyle w:val="Compact"/>
              <w:jc w:val="right"/>
            </w:pPr>
            <w:r>
              <w:t xml:space="preserve">TOTAL ESTIMATED COST (RUB)</w:t>
            </w:r>
          </w:p>
        </w:tc>
        <w:tc>
          <w:tcPr/>
          <w:p>
            <w:pPr>
              <w:pStyle w:val="Compact"/>
              <w:jc w:val="left"/>
            </w:pPr>
            <w:r>
              <w:t xml:space="preserve">5,126,400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stated in Russian Rubles (RUB) and are inclusive of the</w:t>
      </w:r>
      <w:r>
        <w:t xml:space="preserve"> </w:t>
      </w:r>
      <w:r>
        <w:t xml:space="preserve">Customs Officer</w:t>
      </w:r>
      <w:r>
        <w:t xml:space="preserve">'s professional liability insurance. Government-imposed customs duties, VAT on goods, excise taxes, and third-party port/terminal handling charges are excluded and shall be borne directly by the client. Exchange rate fluctuations exceeding 5% from the date of this estimate may trigger a mutual review of pricing.</w:t>
      </w:r>
    </w:p>
    <w:bookmarkEnd w:id="23"/>
    <w:bookmarkStart w:id="24" w:name="payment-terms"/>
    <w:p>
      <w:pPr>
        <w:pStyle w:val="Heading2"/>
      </w:pPr>
      <w:r>
        <w:t xml:space="preserve">4. Payment Terms</w:t>
      </w:r>
    </w:p>
    <w:p>
      <w:pPr>
        <w:numPr>
          <w:ilvl w:val="0"/>
          <w:numId w:val="1002"/>
        </w:numPr>
        <w:pStyle w:val="Compact"/>
      </w:pPr>
      <w:r>
        <w:t xml:space="preserve">40% advance payment upon execution of the service agreement, payable within 10 business days.</w:t>
      </w:r>
    </w:p>
    <w:p>
      <w:pPr>
        <w:numPr>
          <w:ilvl w:val="0"/>
          <w:numId w:val="1002"/>
        </w:numPr>
        <w:pStyle w:val="Compact"/>
      </w:pPr>
      <w:r>
        <w:t xml:space="preserve">Monthly invoices for the</w:t>
      </w:r>
      <w:r>
        <w:t xml:space="preserve"> </w:t>
      </w:r>
      <w:r>
        <w:t xml:space="preserve">Customs Officer</w:t>
      </w:r>
      <w:r>
        <w:t xml:space="preserve"> </w:t>
      </w:r>
      <w:r>
        <w:t xml:space="preserve">retainer and per-unit services, due within 15 calendar days of invoice date.</w:t>
      </w:r>
    </w:p>
    <w:p>
      <w:pPr>
        <w:numPr>
          <w:ilvl w:val="0"/>
          <w:numId w:val="1002"/>
        </w:numPr>
        <w:pStyle w:val="Compact"/>
      </w:pPr>
      <w:r>
        <w:t xml:space="preserve">Payment shall be made via bank transfer to the firm's designated account in Saint Petersburg, Russia. Wire transfer fees are the responsibility of the client.</w:t>
      </w:r>
    </w:p>
    <w:p>
      <w:pPr>
        <w:numPr>
          <w:ilvl w:val="0"/>
          <w:numId w:val="1002"/>
        </w:numPr>
        <w:pStyle w:val="Compact"/>
      </w:pPr>
      <w:r>
        <w:t xml:space="preserve">Late payments shall accrue interest at the rate of 0.1% per calendar day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Beyond this period, all rates are subject to revision.</w:t>
      </w:r>
    </w:p>
    <w:p>
      <w:pPr>
        <w:numPr>
          <w:ilvl w:val="0"/>
          <w:numId w:val="1003"/>
        </w:numPr>
        <w:pStyle w:val="Compact"/>
      </w:pPr>
      <w:r>
        <w:t xml:space="preserve">The</w:t>
      </w:r>
      <w:r>
        <w:t xml:space="preserve"> </w:t>
      </w:r>
      <w:r>
        <w:t xml:space="preserve">Customs Officer</w:t>
      </w:r>
      <w:r>
        <w:t xml:space="preserve"> </w:t>
      </w:r>
      <w:r>
        <w:t xml:space="preserve">shall operate in strict compliance with Federal Law No. 289-FZ "On Customs Regulation in the Russian Federation" and all subordinate EAEU regulations.</w:t>
      </w:r>
    </w:p>
    <w:p>
      <w:pPr>
        <w:numPr>
          <w:ilvl w:val="0"/>
          <w:numId w:val="1003"/>
        </w:numPr>
        <w:pStyle w:val="Compact"/>
      </w:pPr>
      <w:r>
        <w:t xml:space="preserve">Confidentiality: All client trade data, commercial documents, and operational information processed by the</w:t>
      </w:r>
      <w:r>
        <w:t xml:space="preserve"> </w:t>
      </w:r>
      <w:r>
        <w:t xml:space="preserve">Customs Officer</w:t>
      </w:r>
      <w:r>
        <w:t xml:space="preserve"> </w:t>
      </w:r>
      <w:r>
        <w:t xml:space="preserve">shall be treated as strictly confidential and shall not be disclosed to third parties without written consent.</w:t>
      </w:r>
    </w:p>
    <w:p>
      <w:pPr>
        <w:numPr>
          <w:ilvl w:val="0"/>
          <w:numId w:val="1003"/>
        </w:numPr>
        <w:pStyle w:val="Compact"/>
      </w:pPr>
      <w:r>
        <w:t xml:space="preserve">Liability: The firm's aggregate liability under this engagement shall not exceed the total fees paid by the client in the preceding 12 months. Liability arising from gross negligence or willful misconduct is excluded from this cap.</w:t>
      </w:r>
    </w:p>
    <w:p>
      <w:pPr>
        <w:numPr>
          <w:ilvl w:val="0"/>
          <w:numId w:val="1003"/>
        </w:numPr>
        <w:pStyle w:val="Compact"/>
      </w:pPr>
      <w:r>
        <w:t xml:space="preserve">Termination: Either party may terminate the agreement with 30 days' written notice. In the event of termination, all completed services shall be invoiced and settled within 15 days.</w:t>
      </w:r>
    </w:p>
    <w:p>
      <w:pPr>
        <w:numPr>
          <w:ilvl w:val="0"/>
          <w:numId w:val="1003"/>
        </w:numPr>
        <w:pStyle w:val="Compact"/>
      </w:pPr>
      <w:r>
        <w:t xml:space="preserve">Governing Law: This agreement shall be governed by the laws of the Russian Federation. Disputes shall be resolved by arbitration at the Arbitration Court of Saint Petersburg and Leningrad Oblast.</w:t>
      </w:r>
    </w:p>
    <w:p>
      <w:pPr>
        <w:numPr>
          <w:ilvl w:val="0"/>
          <w:numId w:val="1003"/>
        </w:numPr>
        <w:pStyle w:val="Compact"/>
      </w:pPr>
      <w:r>
        <w:t xml:space="preserve">Force Majeure: Neither party shall be liable for delays or failures in performance caused by events beyond reasonable control, including but not limited to natural disasters, government sanctions, or systemic port closures in</w:t>
      </w:r>
      <w:r>
        <w:t xml:space="preserve"> </w:t>
      </w:r>
      <w:r>
        <w:t xml:space="preserve">Russia Saint Petersburg</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Customs Officer</w:t>
      </w:r>
      <w:r>
        <w:t xml:space="preserve"> </w:t>
      </w:r>
      <w:r>
        <w:t xml:space="preserve">services in</w:t>
      </w:r>
      <w:r>
        <w:t xml:space="preserve"> </w:t>
      </w:r>
      <w:r>
        <w:t xml:space="preserve">Russia Saint Petersburg</w:t>
      </w:r>
      <w:r>
        <w:t xml:space="preserve">. This document, once countersigned by both parties, constitutes a binding service agreement.</w:t>
      </w:r>
    </w:p>
    <w:p>
      <w:pPr>
        <w:pStyle w:val="BodyText"/>
      </w:pPr>
      <w:r>
        <w:rPr>
          <w:bCs/>
          <w:b/>
        </w:rPr>
        <w:t xml:space="preserve">For the Service Provider</w:t>
      </w:r>
      <w:r>
        <w:br/>
      </w:r>
      <w:r>
        <w:t xml:space="preserve">Authorized Signatory</w:t>
      </w:r>
      <w:r>
        <w:br/>
      </w:r>
      <w:r>
        <w:t xml:space="preserve">Name: _________________________</w:t>
      </w:r>
      <w:r>
        <w:br/>
      </w:r>
      <w:r>
        <w:t xml:space="preserve">Title: Director, Customs Brokerage Division</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QTE-SPB-2025-0487) is issued for the exclusive use of the named client and may not be reproduced or distributed without prior written consent. All</w:t>
      </w:r>
      <w:r>
        <w:t xml:space="preserve"> </w:t>
      </w:r>
      <w:r>
        <w:t xml:space="preserve">Customs Officer</w:t>
      </w:r>
      <w:r>
        <w:t xml:space="preserve"> </w:t>
      </w:r>
      <w:r>
        <w:t xml:space="preserve">services are subject to the regulatory framework of the Federal Customs Service of Russia, Saint Petersburg Directorate. For inquiries or amendments, please contact the estimates department at +7 (812) 555-0142.</w:t>
      </w:r>
    </w:p>
    <w:p>
      <w:pPr>
        <w:pStyle w:val="BodyText"/>
      </w:pPr>
      <w:r>
        <w:t xml:space="preserve">© 2025 Saint Petersburg Customs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Russia Saint Petersburg</dc:title>
  <dc:creator/>
  <dc:language>en</dc:language>
  <cp:keywords/>
  <dcterms:created xsi:type="dcterms:W3CDTF">2026-10-10T08:51:28Z</dcterms:created>
  <dcterms:modified xsi:type="dcterms:W3CDTF">2026-10-10T08:51:28Z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