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Turkey Istanbul — All Ports and Border Crossings</w:t>
      </w:r>
    </w:p>
    <w:bookmarkEnd w:id="20"/>
    <w:p>
      <w:pPr>
        <w:pStyle w:val="BodyText"/>
      </w:pPr>
      <w:r>
        <w:rPr>
          <w:bCs/>
          <w:b/>
        </w:rPr>
        <w:t xml:space="preserve">Document No.:</w:t>
      </w:r>
      <w:r>
        <w:t xml:space="preserve"> </w:t>
      </w:r>
      <w:r>
        <w:t xml:space="preserve">QE-IST-2025-04871</w:t>
      </w:r>
      <w:r>
        <w:t xml:space="preserve"> </w:t>
      </w:r>
      <w:r>
        <w:rPr>
          <w:bCs/>
          <w:b/>
        </w:rPr>
        <w:t xml:space="preserve">Date of Issue:</w:t>
      </w:r>
      <w:r>
        <w:t xml:space="preserve"> </w:t>
      </w:r>
      <w:r>
        <w:t xml:space="preserve">15 June 2025</w:t>
      </w:r>
      <w:r>
        <w:t xml:space="preserve"> </w:t>
      </w:r>
      <w:r>
        <w:rPr>
          <w:bCs/>
          <w:b/>
        </w:rPr>
        <w:t xml:space="preserve">Validity:</w:t>
      </w:r>
      <w:r>
        <w:t xml:space="preserve"> </w:t>
      </w:r>
      <w:r>
        <w:t xml:space="preserve">30 Days</w:t>
      </w:r>
    </w:p>
    <w:bookmarkStart w:id="21" w:name="service-provider"/>
    <w:p>
      <w:pPr>
        <w:pStyle w:val="Heading4"/>
      </w:pPr>
      <w:r>
        <w:t xml:space="preserve">Service Provider</w:t>
      </w:r>
    </w:p>
    <w:p>
      <w:pPr>
        <w:pStyle w:val="FirstParagraph"/>
      </w:pPr>
      <w:r>
        <w:rPr>
          <w:bCs/>
          <w:b/>
        </w:rPr>
        <w:t xml:space="preserve">Bosphorus Customs &amp; Trade Solutions Ltd.</w:t>
      </w:r>
    </w:p>
    <w:p>
      <w:pPr>
        <w:pStyle w:val="BodyText"/>
      </w:pPr>
      <w:r>
        <w:t xml:space="preserve">Address: İstiklal Caddesi No. 245, Beyoğlu</w:t>
      </w:r>
    </w:p>
    <w:p>
      <w:pPr>
        <w:pStyle w:val="BodyText"/>
      </w:pPr>
      <w:r>
        <w:t xml:space="preserve">Istanbul 34433, Turkey</w:t>
      </w:r>
    </w:p>
    <w:p>
      <w:pPr>
        <w:pStyle w:val="BodyText"/>
      </w:pPr>
      <w:r>
        <w:t xml:space="preserve">Tax ID (VKN): 1234567890</w:t>
      </w:r>
    </w:p>
    <w:p>
      <w:pPr>
        <w:pStyle w:val="BodyText"/>
      </w:pPr>
      <w:r>
        <w:t xml:space="preserve">Customs Broker License No.: TR-CB-2024-0892</w:t>
      </w:r>
    </w:p>
    <w:p>
      <w:pPr>
        <w:pStyle w:val="BodyText"/>
      </w:pPr>
      <w:r>
        <w:t xml:space="preserve">Email: quotes@bosphoruscustoms.com.tr</w:t>
      </w:r>
    </w:p>
    <w:p>
      <w:pPr>
        <w:pStyle w:val="BodyText"/>
      </w:pPr>
      <w:r>
        <w:t xml:space="preserve">Phone: +90 212 555 0147</w:t>
      </w:r>
    </w:p>
    <w:bookmarkEnd w:id="21"/>
    <w:bookmarkStart w:id="22" w:name="client-recipient"/>
    <w:p>
      <w:pPr>
        <w:pStyle w:val="Heading4"/>
      </w:pPr>
      <w:r>
        <w:t xml:space="preserve">Client / Recipient</w:t>
      </w:r>
    </w:p>
    <w:p>
      <w:pPr>
        <w:pStyle w:val="FirstParagraph"/>
      </w:pPr>
      <w:r>
        <w:rPr>
          <w:bCs/>
          <w:b/>
        </w:rPr>
        <w:t xml:space="preserve">Client Name:</w:t>
      </w:r>
      <w:r>
        <w:t xml:space="preserve"> </w:t>
      </w:r>
      <w:r>
        <w:t xml:space="preserve">[To be filled upon acceptance]</w:t>
      </w:r>
    </w:p>
    <w:p>
      <w:pPr>
        <w:pStyle w:val="BodyText"/>
      </w:pPr>
      <w:r>
        <w:rPr>
          <w:bCs/>
          <w:b/>
        </w:rPr>
        <w:t xml:space="preserve">Company:</w:t>
      </w:r>
      <w:r>
        <w:t xml:space="preserve"> </w:t>
      </w:r>
      <w:r>
        <w:t xml:space="preserve">[To be filled upon acceptance]</w:t>
      </w:r>
    </w:p>
    <w:p>
      <w:pPr>
        <w:pStyle w:val="BodyText"/>
      </w:pPr>
      <w:r>
        <w:rPr>
          <w:bCs/>
          <w:b/>
        </w:rPr>
        <w:t xml:space="preserve">Address:</w:t>
      </w:r>
      <w:r>
        <w:t xml:space="preserve"> </w:t>
      </w:r>
      <w:r>
        <w:t xml:space="preserve">[To be filled upon acceptance]</w:t>
      </w:r>
    </w:p>
    <w:p>
      <w:pPr>
        <w:pStyle w:val="BodyText"/>
      </w:pPr>
      <w:r>
        <w:rPr>
          <w:bCs/>
          <w:b/>
        </w:rPr>
        <w:t xml:space="preserve">Contact Person:</w:t>
      </w:r>
      <w:r>
        <w:t xml:space="preserve"> </w:t>
      </w:r>
      <w:r>
        <w:t xml:space="preserve">[To be filled upon acceptance]</w:t>
      </w:r>
    </w:p>
    <w:p>
      <w:pPr>
        <w:pStyle w:val="BodyText"/>
      </w:pPr>
      <w:r>
        <w:rPr>
          <w:bCs/>
          <w:b/>
        </w:rPr>
        <w:t xml:space="preserve">Phone:</w:t>
      </w:r>
      <w:r>
        <w:t xml:space="preserve"> </w:t>
      </w:r>
      <w:r>
        <w:t xml:space="preserve">[To be filled upon acceptance]</w:t>
      </w:r>
    </w:p>
    <w:p>
      <w:pPr>
        <w:pStyle w:val="BodyText"/>
      </w:pPr>
      <w:r>
        <w:rPr>
          <w:bCs/>
          <w:b/>
        </w:rPr>
        <w:t xml:space="preserve">Email:</w:t>
      </w:r>
      <w:r>
        <w:t xml:space="preserve"> </w:t>
      </w:r>
      <w:r>
        <w:t xml:space="preserve">[To be filled upon acceptance]</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Bosphorus Customs &amp; Trade Solutions Ltd. to provide a comprehensive and transparent cost breakdown for the engagement of a licensed</w:t>
      </w:r>
      <w:r>
        <w:t xml:space="preserve"> </w:t>
      </w:r>
      <w:r>
        <w:t xml:space="preserve">Customs Officer</w:t>
      </w:r>
      <w:r>
        <w:t xml:space="preserve"> </w:t>
      </w:r>
      <w:r>
        <w:t xml:space="preserve">to manage, facilitate, and oversee all customs clearance operations within</w:t>
      </w:r>
      <w:r>
        <w:t xml:space="preserve"> </w:t>
      </w:r>
      <w:r>
        <w:t xml:space="preserve">Turkey Istanbul</w:t>
      </w:r>
      <w:r>
        <w:t xml:space="preserve">. The services described herein cover the full spectrum of import, export, and transit customs procedures at Istanbul's major ports of entry, including Istanbul Airport (IST), Sabiha Gökçen International Airport (SAW), the Port of Istanbul (Haydarpaşa), the Port of Ambarlı, and the land border crossing at Kapıkule and İpsala.</w:t>
      </w:r>
    </w:p>
    <w:p>
      <w:pPr>
        <w:pStyle w:val="BodyText"/>
      </w:pPr>
      <w:r>
        <w:t xml:space="preserve">The</w:t>
      </w:r>
      <w:r>
        <w:t xml:space="preserve"> </w:t>
      </w:r>
      <w:r>
        <w:t xml:space="preserve">Customs Officer</w:t>
      </w:r>
      <w:r>
        <w:t xml:space="preserve"> </w:t>
      </w:r>
      <w:r>
        <w:t xml:space="preserve">assigned under this</w:t>
      </w:r>
      <w:r>
        <w:t xml:space="preserve"> </w:t>
      </w:r>
      <w:r>
        <w:t xml:space="preserve">Quotation Estimate</w:t>
      </w:r>
      <w:r>
        <w:t xml:space="preserve"> </w:t>
      </w:r>
      <w:r>
        <w:t xml:space="preserve">shall be a fully licensed professional registered with the Turkish Customs Administration (Gümrükler Genel Müdürlüğü) and shall operate in strict compliance with the Turkish Customs Code (Law No. 4458), the EU Customs Code as applied in Turkey, and all relevant regulations of the Republic of Turkey.</w:t>
      </w:r>
    </w:p>
    <w:bookmarkEnd w:id="23"/>
    <w:bookmarkStart w:id="24" w:name="detailed-service-description"/>
    <w:p>
      <w:pPr>
        <w:pStyle w:val="Heading2"/>
      </w:pPr>
      <w:r>
        <w:t xml:space="preserve">2. Detailed Service Description</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will perform the following duties in</w:t>
      </w:r>
      <w:r>
        <w:t xml:space="preserve"> </w:t>
      </w:r>
      <w:r>
        <w:t xml:space="preserve">Turkey Istanbul</w:t>
      </w:r>
      <w:r>
        <w:t xml:space="preserve">:</w:t>
      </w:r>
    </w:p>
    <w:p>
      <w:pPr>
        <w:numPr>
          <w:ilvl w:val="0"/>
          <w:numId w:val="1001"/>
        </w:numPr>
        <w:pStyle w:val="Compact"/>
      </w:pPr>
      <w:r>
        <w:rPr>
          <w:bCs/>
          <w:b/>
        </w:rPr>
        <w:t xml:space="preserve">Import Clearance:</w:t>
      </w:r>
      <w:r>
        <w:t xml:space="preserve"> </w:t>
      </w:r>
      <w:r>
        <w:t xml:space="preserve">Preparation and submission of all import declarations (GİB forms), coordination with Turkish Customs authorities at Istanbul ports, payment facilitation of customs duties, VAT (KDV), and excise taxes, and physical inspection coordination.</w:t>
      </w:r>
    </w:p>
    <w:p>
      <w:pPr>
        <w:numPr>
          <w:ilvl w:val="0"/>
          <w:numId w:val="1001"/>
        </w:numPr>
        <w:pStyle w:val="Compact"/>
      </w:pPr>
      <w:r>
        <w:rPr>
          <w:bCs/>
          <w:b/>
        </w:rPr>
        <w:t xml:space="preserve">Export Clearance:</w:t>
      </w:r>
      <w:r>
        <w:t xml:space="preserve"> </w:t>
      </w:r>
      <w:r>
        <w:t xml:space="preserve">Filing of export declarations, obtaining export licenses where required, coordination with the Turkish Ministry of Trade, and ensuring compliance with export control regulations applicable in</w:t>
      </w:r>
      <w:r>
        <w:t xml:space="preserve"> </w:t>
      </w:r>
      <w:r>
        <w:t xml:space="preserve">Turkey Istanbul</w:t>
      </w:r>
      <w:r>
        <w:t xml:space="preserve">.</w:t>
      </w:r>
    </w:p>
    <w:p>
      <w:pPr>
        <w:numPr>
          <w:ilvl w:val="0"/>
          <w:numId w:val="1001"/>
        </w:numPr>
        <w:pStyle w:val="Compact"/>
      </w:pPr>
      <w:r>
        <w:rPr>
          <w:bCs/>
          <w:b/>
        </w:rPr>
        <w:t xml:space="preserve">Transit and Temporary Admission:</w:t>
      </w:r>
      <w:r>
        <w:t xml:space="preserve"> </w:t>
      </w:r>
      <w:r>
        <w:t xml:space="preserve">Management of T1/T2 transit procedures, ATA Carnet processing, and temporary admission of goods for trade fairs, exhibitions, and industrial use within Istanbul and the Marmara region.</w:t>
      </w:r>
    </w:p>
    <w:p>
      <w:pPr>
        <w:numPr>
          <w:ilvl w:val="0"/>
          <w:numId w:val="1001"/>
        </w:numPr>
        <w:pStyle w:val="Compact"/>
      </w:pPr>
      <w:r>
        <w:rPr>
          <w:bCs/>
          <w:b/>
        </w:rPr>
        <w:t xml:space="preserve">Documentation and Compliance:</w:t>
      </w:r>
      <w:r>
        <w:t xml:space="preserve"> </w:t>
      </w:r>
      <w:r>
        <w:t xml:space="preserve">Verification of commercial invoices, packing lists, certificates of origin, bills of lading, and all supporting documents. Ensuring correct HS code classification and valuation in accordance with Turkish customs law.</w:t>
      </w:r>
    </w:p>
    <w:p>
      <w:pPr>
        <w:numPr>
          <w:ilvl w:val="0"/>
          <w:numId w:val="1001"/>
        </w:numPr>
        <w:pStyle w:val="Compact"/>
      </w:pPr>
      <w:r>
        <w:rPr>
          <w:bCs/>
          <w:b/>
        </w:rPr>
        <w:t xml:space="preserve">Advisory and Consultation:</w:t>
      </w:r>
      <w:r>
        <w:t xml:space="preserve"> </w:t>
      </w:r>
      <w:r>
        <w:t xml:space="preserve">Providing the client with ongoing advisory on tariff classifications, duty rates, trade agreements (including EU-Turkey Customs Union obligations), and regulatory changes affecting customs operations in</w:t>
      </w:r>
      <w:r>
        <w:t xml:space="preserve"> </w:t>
      </w:r>
      <w:r>
        <w:t xml:space="preserve">Turkey Istanbul</w:t>
      </w:r>
      <w:r>
        <w:t xml:space="preserve">.</w:t>
      </w:r>
    </w:p>
    <w:p>
      <w:pPr>
        <w:numPr>
          <w:ilvl w:val="0"/>
          <w:numId w:val="1001"/>
        </w:numPr>
        <w:pStyle w:val="Compact"/>
      </w:pPr>
      <w:r>
        <w:rPr>
          <w:bCs/>
          <w:b/>
        </w:rPr>
        <w:t xml:space="preserve">Dispute Resolution and Appeals:</w:t>
      </w:r>
      <w:r>
        <w:t xml:space="preserve"> </w:t>
      </w:r>
      <w:r>
        <w:t xml:space="preserve">Representation before the Turkish Customs Administration in the event of disputes, additional duty assessments, or the need to file administrative appeals regarding customs decisions made in Istanbul.</w:t>
      </w:r>
    </w:p>
    <w:p>
      <w:pPr>
        <w:numPr>
          <w:ilvl w:val="0"/>
          <w:numId w:val="1001"/>
        </w:numPr>
        <w:pStyle w:val="Compact"/>
      </w:pPr>
      <w:r>
        <w:rPr>
          <w:bCs/>
          <w:b/>
        </w:rPr>
        <w:t xml:space="preserve">On-Site Presence:</w:t>
      </w:r>
      <w:r>
        <w:t xml:space="preserve"> </w:t>
      </w:r>
      <w:r>
        <w:t xml:space="preserve">Physical presence of the</w:t>
      </w:r>
    </w:p>
    <w:p>
      <w:pPr>
        <w:numPr>
          <w:ilvl w:val="0"/>
          <w:numId w:val="1000"/>
        </w:numPr>
        <w:pStyle w:val="Compact"/>
      </w:pPr>
      <w:r>
        <w:t xml:space="preserve">Customs Officer at the relevant Istanbul port or border facility during cargo unloading, inspection, and release procedures.</w:t>
      </w:r>
    </w:p>
    <w:bookmarkEnd w:id="24"/>
    <w:bookmarkStart w:id="25" w:name="pricing-breakdown-quotation-estimate"/>
    <w:p>
      <w:pPr>
        <w:pStyle w:val="Heading2"/>
      </w:pPr>
      <w:r>
        <w:t xml:space="preserve">3. Pricing Breakdown — Quotation Estimate</w:t>
      </w:r>
    </w:p>
    <w:p>
      <w:pPr>
        <w:pStyle w:val="FirstParagraph"/>
      </w:pPr>
      <w:r>
        <w:t xml:space="preserve">The following</w:t>
      </w:r>
      <w:r>
        <w:t xml:space="preserve"> </w:t>
      </w:r>
      <w:r>
        <w:t xml:space="preserve">Quotation Estimate</w:t>
      </w:r>
      <w:r>
        <w:t xml:space="preserve"> </w:t>
      </w:r>
      <w:r>
        <w:t xml:space="preserve">outlines the professional fees for the</w:t>
      </w:r>
      <w:r>
        <w:t xml:space="preserve"> </w:t>
      </w:r>
      <w:r>
        <w:t xml:space="preserve">Customs Officer</w:t>
      </w:r>
      <w:r>
        <w:t xml:space="preserve"> </w:t>
      </w:r>
      <w:r>
        <w:t xml:space="preserve">services in</w:t>
      </w:r>
      <w:r>
        <w:t xml:space="preserve"> </w:t>
      </w:r>
      <w:r>
        <w:t xml:space="preserve">Turkey Istanbul</w:t>
      </w:r>
      <w:r>
        <w:t xml:space="preserve">. All prices are exclusive of applicable Turkish Value Added Tax (KDV) at the current rate of 20%.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Import customs clearance per shipment (standard cargo, up to 20 containers)</w:t>
            </w:r>
          </w:p>
        </w:tc>
        <w:tc>
          <w:tcPr/>
          <w:p>
            <w:pPr>
              <w:pStyle w:val="Compact"/>
              <w:jc w:val="left"/>
            </w:pPr>
            <w:r>
              <w:t xml:space="preserve">Shipment</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Export customs clearance per shipment</w:t>
            </w:r>
          </w:p>
        </w:tc>
        <w:tc>
          <w:tcPr/>
          <w:p>
            <w:pPr>
              <w:pStyle w:val="Compact"/>
              <w:jc w:val="left"/>
            </w:pPr>
            <w:r>
              <w:t xml:space="preserve">Shipment</w:t>
            </w:r>
          </w:p>
        </w:tc>
        <w:tc>
          <w:tcPr/>
          <w:p>
            <w:pPr>
              <w:pStyle w:val="Compact"/>
              <w:jc w:val="left"/>
            </w:pPr>
            <w:r>
              <w:t xml:space="preserve">8</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3</w:t>
            </w:r>
          </w:p>
        </w:tc>
        <w:tc>
          <w:tcPr/>
          <w:p>
            <w:pPr>
              <w:pStyle w:val="Compact"/>
              <w:jc w:val="left"/>
            </w:pPr>
            <w:r>
              <w:t xml:space="preserve">Transit / Temporary admission processing (ATA Carnet, T1/T2)</w:t>
            </w:r>
          </w:p>
        </w:tc>
        <w:tc>
          <w:tcPr/>
          <w:p>
            <w:pPr>
              <w:pStyle w:val="Compact"/>
              <w:jc w:val="left"/>
            </w:pPr>
            <w:r>
              <w:t xml:space="preserve">Transaction</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On-site Customs Officer presence at Istanbul port (per day, up to 8 hours)</w:t>
            </w:r>
          </w:p>
        </w:tc>
        <w:tc>
          <w:tcPr/>
          <w:p>
            <w:pPr>
              <w:pStyle w:val="Compact"/>
              <w:jc w:val="left"/>
            </w:pPr>
            <w:r>
              <w:t xml:space="preserve">Day</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HS code classification and tariff advisory (per product line)</w:t>
            </w:r>
          </w:p>
        </w:tc>
        <w:tc>
          <w:tcPr/>
          <w:p>
            <w:pPr>
              <w:pStyle w:val="Compact"/>
              <w:jc w:val="left"/>
            </w:pPr>
            <w:r>
              <w:t xml:space="preserve">Product</w:t>
            </w:r>
          </w:p>
        </w:tc>
        <w:tc>
          <w:tcPr/>
          <w:p>
            <w:pPr>
              <w:pStyle w:val="Compact"/>
              <w:jc w:val="left"/>
            </w:pPr>
            <w:r>
              <w:t xml:space="preserve">15</w:t>
            </w:r>
          </w:p>
        </w:tc>
        <w:tc>
          <w:tcPr/>
          <w:p>
            <w:pPr>
              <w:pStyle w:val="Compact"/>
              <w:jc w:val="left"/>
            </w:pPr>
            <w:r>
              <w:t xml:space="preserve">65.00</w:t>
            </w:r>
          </w:p>
        </w:tc>
        <w:tc>
          <w:tcPr/>
          <w:p>
            <w:pPr>
              <w:pStyle w:val="Compact"/>
              <w:jc w:val="left"/>
            </w:pPr>
            <w:r>
              <w:t xml:space="preserve">975.00</w:t>
            </w:r>
          </w:p>
        </w:tc>
      </w:tr>
      <w:tr>
        <w:tc>
          <w:tcPr/>
          <w:p>
            <w:pPr>
              <w:pStyle w:val="Compact"/>
              <w:jc w:val="left"/>
            </w:pPr>
            <w:r>
              <w:t xml:space="preserve">6</w:t>
            </w:r>
          </w:p>
        </w:tc>
        <w:tc>
          <w:tcPr/>
          <w:p>
            <w:pPr>
              <w:pStyle w:val="Compact"/>
              <w:jc w:val="left"/>
            </w:pPr>
            <w:r>
              <w:t xml:space="preserve">Customs dispute representation and administrative appeal filing</w:t>
            </w:r>
          </w:p>
        </w:tc>
        <w:tc>
          <w:tcPr/>
          <w:p>
            <w:pPr>
              <w:pStyle w:val="Compact"/>
              <w:jc w:val="left"/>
            </w:pPr>
            <w:r>
              <w:t xml:space="preserve">Case</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Monthly regulatory compliance review and advisory report (Turkey Istanbul)</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8</w:t>
            </w:r>
          </w:p>
        </w:tc>
        <w:tc>
          <w:tcPr/>
          <w:p>
            <w:pPr>
              <w:pStyle w:val="Compact"/>
              <w:jc w:val="left"/>
            </w:pPr>
            <w:r>
              <w:t xml:space="preserve">Urgent / after-hours customs clearance (weekends and public holidays in Istanbul)</w:t>
            </w:r>
          </w:p>
        </w:tc>
        <w:tc>
          <w:tcPr/>
          <w:p>
            <w:pPr>
              <w:pStyle w:val="Compact"/>
              <w:jc w:val="left"/>
            </w:pPr>
            <w:r>
              <w:t xml:space="preserve">Shipment</w:t>
            </w:r>
          </w:p>
        </w:tc>
        <w:tc>
          <w:tcPr/>
          <w:p>
            <w:pPr>
              <w:pStyle w:val="Compact"/>
              <w:jc w:val="left"/>
            </w:pPr>
            <w:r>
              <w:t xml:space="preserve">3</w:t>
            </w:r>
          </w:p>
        </w:tc>
        <w:tc>
          <w:tcPr/>
          <w:p>
            <w:pPr>
              <w:pStyle w:val="Compact"/>
              <w:jc w:val="left"/>
            </w:pPr>
            <w:r>
              <w:t xml:space="preserve">320.00</w:t>
            </w:r>
          </w:p>
        </w:tc>
        <w:tc>
          <w:tcPr/>
          <w:p>
            <w:pPr>
              <w:pStyle w:val="Compact"/>
              <w:jc w:val="left"/>
            </w:pPr>
            <w:r>
              <w:t xml:space="preserve">960.00</w:t>
            </w:r>
          </w:p>
        </w:tc>
      </w:tr>
      <w:tr>
        <w:tc>
          <w:tcPr>
            <w:gridSpan w:val="5"/>
          </w:tcPr>
          <w:p>
            <w:pPr>
              <w:pStyle w:val="Compact"/>
              <w:jc w:val="left"/>
            </w:pPr>
            <w:r>
              <w:t xml:space="preserve">Subtotal (Professional Fees)</w:t>
            </w:r>
          </w:p>
        </w:tc>
        <w:tc>
          <w:tcPr/>
          <w:p>
            <w:pPr>
              <w:pStyle w:val="Compact"/>
              <w:jc w:val="left"/>
            </w:pPr>
            <w:r>
              <w:t xml:space="preserve">10,485.00</w:t>
            </w:r>
          </w:p>
        </w:tc>
      </w:tr>
      <w:tr>
        <w:tc>
          <w:tcPr>
            <w:gridSpan w:val="5"/>
          </w:tcPr>
          <w:p>
            <w:pPr>
              <w:pStyle w:val="Compact"/>
              <w:jc w:val="left"/>
            </w:pPr>
            <w:r>
              <w:t xml:space="preserve">VAT (KDV) @ 20%</w:t>
            </w:r>
          </w:p>
        </w:tc>
        <w:tc>
          <w:tcPr/>
          <w:p>
            <w:pPr>
              <w:pStyle w:val="Compact"/>
              <w:jc w:val="left"/>
            </w:pPr>
            <w:r>
              <w:t xml:space="preserve">2,097.00</w:t>
            </w:r>
          </w:p>
        </w:tc>
      </w:tr>
      <w:tr>
        <w:tc>
          <w:tcPr>
            <w:gridSpan w:val="5"/>
          </w:tcPr>
          <w:p>
            <w:pPr>
              <w:pStyle w:val="Compact"/>
              <w:jc w:val="left"/>
            </w:pPr>
            <w:r>
              <w:rPr>
                <w:bCs/>
                <w:b/>
              </w:rPr>
              <w:t xml:space="preserve">TOTAL QUOTATION ESTIMATE (EUR)</w:t>
            </w:r>
          </w:p>
        </w:tc>
        <w:tc>
          <w:tcPr/>
          <w:p>
            <w:pPr>
              <w:pStyle w:val="Compact"/>
              <w:jc w:val="left"/>
            </w:pPr>
            <w:r>
              <w:rPr>
                <w:bCs/>
                <w:b/>
              </w:rPr>
              <w:t xml:space="preserve">12,582.00</w:t>
            </w:r>
          </w:p>
        </w:tc>
      </w:tr>
    </w:tbl>
    <w:p>
      <w:pPr>
        <w:pStyle w:val="BodyText"/>
      </w:pPr>
      <w:r>
        <w:t xml:space="preserve">* All government-imposed customs duties, excise taxes, port handling fees, and third-party charges (e.g., terminal operator fees at Ambarlı or Haydarpaşa) are excluded from this Quotation Estimate and shall be borne directly by the client. The Customs Officer will provide a separate itemized invoice for such pass-through costs.</w:t>
      </w:r>
    </w:p>
    <w:bookmarkEnd w:id="25"/>
    <w:bookmarkStart w:id="26" w:name="payment-terms"/>
    <w:p>
      <w:pPr>
        <w:pStyle w:val="Heading2"/>
      </w:pPr>
      <w:r>
        <w:t xml:space="preserve">4. Payment Terms</w:t>
      </w:r>
    </w:p>
    <w:p>
      <w:pPr>
        <w:numPr>
          <w:ilvl w:val="0"/>
          <w:numId w:val="1002"/>
        </w:numPr>
        <w:pStyle w:val="Compact"/>
      </w:pPr>
      <w:r>
        <w:t xml:space="preserve">50% advance payment upon acceptance of this</w:t>
      </w:r>
      <w:r>
        <w:t xml:space="preserve"> </w:t>
      </w:r>
      <w:r>
        <w:t xml:space="preserve">Quotation Estimate</w:t>
      </w:r>
      <w:r>
        <w:t xml:space="preserve">.</w:t>
      </w:r>
    </w:p>
    <w:p>
      <w:pPr>
        <w:numPr>
          <w:ilvl w:val="0"/>
          <w:numId w:val="1002"/>
        </w:numPr>
        <w:pStyle w:val="Compact"/>
      </w:pPr>
      <w:r>
        <w:t xml:space="preserve">50% balance payment within 15 business days of completion of the final service under this engagement.</w:t>
      </w:r>
    </w:p>
    <w:p>
      <w:pPr>
        <w:numPr>
          <w:ilvl w:val="0"/>
          <w:numId w:val="1002"/>
        </w:numPr>
        <w:pStyle w:val="Compact"/>
      </w:pPr>
      <w:r>
        <w:t xml:space="preserve">Payments shall be made via bank transfer to the account of Bosphorus Customs &amp; Trade Solutions Ltd., IBAN: TR12 0006 4000 0011 2345 6789 01, Bank: İş Bankası, Istanbul Branch.</w:t>
      </w:r>
    </w:p>
    <w:p>
      <w:pPr>
        <w:numPr>
          <w:ilvl w:val="0"/>
          <w:numId w:val="1002"/>
        </w:numPr>
        <w:pStyle w:val="Compact"/>
      </w:pPr>
      <w:r>
        <w:t xml:space="preserve">Late payments shall incur a penalty of 1.5% per month, in accordance with Turkish commercial law.</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w:t>
      </w:r>
      <w:r>
        <w:t xml:space="preserve"> </w:t>
      </w:r>
      <w:r>
        <w:rPr>
          <w:bCs/>
          <w:b/>
        </w:rPr>
        <w:t xml:space="preserve">30 calendar days</w:t>
      </w:r>
      <w:r>
        <w:t xml:space="preserve"> </w:t>
      </w:r>
      <w:r>
        <w:t xml:space="preserve">from the date of issue. After this period, pricing may be revised to reflect changes in Turkish customs regulations, exchange rates, or operational costs in</w:t>
      </w:r>
      <w:r>
        <w:t xml:space="preserve"> </w:t>
      </w:r>
      <w:r>
        <w:t xml:space="preserve">Turkey Istanbul</w:t>
      </w:r>
      <w:r>
        <w:t xml:space="preserve">.</w:t>
      </w:r>
    </w:p>
    <w:p>
      <w:pPr>
        <w:numPr>
          <w:ilvl w:val="0"/>
          <w:numId w:val="1003"/>
        </w:numPr>
        <w:pStyle w:val="Compact"/>
      </w:pPr>
      <w:r>
        <w:t xml:space="preserve">The</w:t>
      </w:r>
      <w:r>
        <w:t xml:space="preserve"> </w:t>
      </w:r>
      <w:r>
        <w:t xml:space="preserve">Customs Officer</w:t>
      </w:r>
      <w:r>
        <w:t xml:space="preserve"> </w:t>
      </w:r>
      <w:r>
        <w:t xml:space="preserve">shall maintain full professional liability insurance and shall be bound by the code of ethics of the Turkish Customs Brokers Association (Gümrük Müşavirleri Odası).</w:t>
      </w:r>
    </w:p>
    <w:p>
      <w:pPr>
        <w:numPr>
          <w:ilvl w:val="0"/>
          <w:numId w:val="1003"/>
        </w:numPr>
        <w:pStyle w:val="Compact"/>
      </w:pPr>
      <w:r>
        <w:t xml:space="preserve">Confidentiality: All commercial data, shipment details, and client information handled by the</w:t>
      </w:r>
      <w:r>
        <w:t xml:space="preserve"> </w:t>
      </w:r>
      <w:r>
        <w:t xml:space="preserve">Customs Officer</w:t>
      </w:r>
      <w:r>
        <w:t xml:space="preserve"> </w:t>
      </w:r>
      <w:r>
        <w:t xml:space="preserve">in</w:t>
      </w:r>
      <w:r>
        <w:t xml:space="preserve"> </w:t>
      </w:r>
      <w:r>
        <w:t xml:space="preserve">Turkey Istanbul</w:t>
      </w:r>
      <w:r>
        <w:t xml:space="preserve"> </w:t>
      </w:r>
      <w:r>
        <w:t xml:space="preserve">shall be treated as strictly confidential and shall not be disclosed to any third party without written consent.</w:t>
      </w:r>
    </w:p>
    <w:p>
      <w:pPr>
        <w:numPr>
          <w:ilvl w:val="0"/>
          <w:numId w:val="1003"/>
        </w:numPr>
        <w:pStyle w:val="Compact"/>
      </w:pPr>
      <w:r>
        <w:t xml:space="preserve">Force Majeure: Neither party shall be liable for delays or non-performance caused by events beyond reasonable control, including but not limited to port strikes, natural disasters, government-mandated closures, or changes in Turkish customs legislation.</w:t>
      </w:r>
    </w:p>
    <w:p>
      <w:pPr>
        <w:numPr>
          <w:ilvl w:val="0"/>
          <w:numId w:val="1003"/>
        </w:numPr>
        <w:pStyle w:val="Compact"/>
      </w:pPr>
      <w:r>
        <w:t xml:space="preserve">Governing Law: This</w:t>
      </w:r>
      <w:r>
        <w:t xml:space="preserve"> </w:t>
      </w:r>
      <w:r>
        <w:t xml:space="preserve">Quotation Estimate</w:t>
      </w:r>
      <w:r>
        <w:t xml:space="preserve"> </w:t>
      </w:r>
      <w:r>
        <w:t xml:space="preserve">and any resulting contract shall be governed by the laws of the Republic of Turkey. Any disputes shall be subject to the exclusive jurisdiction of the courts in Istanbul, Turkey.</w:t>
      </w:r>
    </w:p>
    <w:p>
      <w:pPr>
        <w:numPr>
          <w:ilvl w:val="0"/>
          <w:numId w:val="1003"/>
        </w:numPr>
        <w:pStyle w:val="Compact"/>
      </w:pPr>
      <w:r>
        <w:t xml:space="preserve">Acceptance of this</w:t>
      </w:r>
      <w:r>
        <w:t xml:space="preserve"> </w:t>
      </w:r>
      <w:r>
        <w:t xml:space="preserve">Quotation Estimate</w:t>
      </w:r>
      <w:r>
        <w:t xml:space="preserve"> </w:t>
      </w:r>
      <w:r>
        <w:t xml:space="preserve">by signature below constitutes a binding agreement for the services described herein.</w:t>
      </w:r>
    </w:p>
    <w:bookmarkEnd w:id="27"/>
    <w:p>
      <w:pPr>
        <w:pStyle w:val="FirstParagraph"/>
      </w:pPr>
      <w:r>
        <w:rPr>
          <w:bCs/>
          <w:b/>
        </w:rPr>
        <w:t xml:space="preserve">⚠ Validity Notice:</w:t>
      </w:r>
      <w:r>
        <w:t xml:space="preserve"> </w:t>
      </w:r>
      <w:r>
        <w:t xml:space="preserve">This Quotation Estimate is a non-binding offer until formally accepted in writing by the client. Upon acceptance, it shall constitute a binding service agreement between the parties. The Customs Officer services in Turkey Istanbul shall commence within 5 business days of written acceptance.</w:t>
      </w:r>
    </w:p>
    <w:p>
      <w:pPr>
        <w:pStyle w:val="BodyText"/>
      </w:pPr>
      <w:r>
        <w:rPr>
          <w:bCs/>
          <w:b/>
        </w:rPr>
        <w:t xml:space="preserve">For Bosphorus Customs &amp; Trade Solutions Ltd.</w:t>
      </w:r>
    </w:p>
    <w:p>
      <w:pPr>
        <w:pStyle w:val="BodyText"/>
      </w:pPr>
      <w:r>
        <w:t xml:space="preserve">Name: ___________________________</w:t>
      </w:r>
    </w:p>
    <w:p>
      <w:pPr>
        <w:pStyle w:val="BodyText"/>
      </w:pPr>
      <w:r>
        <w:t xml:space="preserve">Title: Licensed Customs Officer / Director</w:t>
      </w:r>
    </w:p>
    <w:p>
      <w:pPr>
        <w:pStyle w:val="BodyText"/>
      </w:pPr>
      <w:r>
        <w:t xml:space="preserve">Date: ___________________________</w:t>
      </w:r>
    </w:p>
    <w:p>
      <w:pPr>
        <w:pStyle w:val="BodyText"/>
      </w:pPr>
      <w:r>
        <w:t xml:space="preserve">Signature &amp; Company Stamp:</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&amp; Company Stamp:</w:t>
      </w:r>
    </w:p>
    <w:p>
      <w:pPr>
        <w:pStyle w:val="BodyText"/>
      </w:pPr>
      <w:r>
        <w:t xml:space="preserve">Bosphorus Customs &amp; Trade Solutions Ltd. — Quotation Estimate QE-IST-2025-04871 — Customs Officer Services, Turkey Istanbul</w:t>
      </w:r>
    </w:p>
    <w:p>
      <w:pPr>
        <w:pStyle w:val="BodyText"/>
      </w:pPr>
      <w:r>
        <w:t xml:space="preserve">This document is generated electronically and is valid without a physical stamp. © 2025 Bosphorus Customs &amp; Trade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Turkey Istanbul</dc:title>
  <dc:creator/>
  <dc:language>en</dc:language>
  <cp:keywords/>
  <dcterms:created xsi:type="dcterms:W3CDTF">2026-10-10T06:19:02Z</dcterms:created>
  <dcterms:modified xsi:type="dcterms:W3CDTF">2026-10-10T06:19:02Z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