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quotation-estimate"/>
    <w:p>
      <w:pPr>
        <w:pStyle w:val="Heading1"/>
      </w:pPr>
      <w:r>
        <w:t xml:space="preserve">QUOTATION ESTIMATE</w:t>
      </w:r>
    </w:p>
    <w:p>
      <w:pPr>
        <w:pStyle w:val="FirstParagraph"/>
      </w:pPr>
      <w:r>
        <w:t xml:space="preserve">Professional Services</w:t>
      </w:r>
    </w:p>
    <w:p>
      <w:pPr>
        <w:pStyle w:val="BodyText"/>
      </w:pPr>
      <w:r>
        <w:t xml:space="preserve">Data Scientist Engagement – Argentina Buenos Aires</w:t>
      </w:r>
    </w:p>
    <w:p>
      <w:pPr>
        <w:pStyle w:val="BodyText"/>
      </w:pPr>
      <w:r>
        <w:t xml:space="preserve">Document Reference: QE-BA-2025-0472</w:t>
      </w:r>
    </w:p>
    <w:bookmarkEnd w:id="20"/>
    <w:p>
      <w:pPr>
        <w:pStyle w:val="BodyText"/>
      </w:pPr>
      <w:r>
        <w:rPr>
          <w:bCs/>
          <w:b/>
        </w:rPr>
        <w:t xml:space="preserve">Prepared By:</w:t>
      </w:r>
      <w:r>
        <w:br/>
      </w:r>
      <w:r>
        <w:t xml:space="preserve">Nova Analytics Consulting S.R.L.</w:t>
      </w:r>
      <w:r>
        <w:br/>
      </w:r>
      <w:r>
        <w:t xml:space="preserve">Av. Corrientes 1250, Piso 8</w:t>
      </w:r>
      <w:r>
        <w:br/>
      </w:r>
      <w:r>
        <w:t xml:space="preserve">Buenos Aires, C1043AAE, Argentina</w:t>
      </w:r>
      <w:r>
        <w:br/>
      </w:r>
      <w:r>
        <w:t xml:space="preserve">Email: proposals@novaanalytics.ar</w:t>
      </w:r>
      <w:r>
        <w:br/>
      </w:r>
      <w:r>
        <w:t xml:space="preserve">Phone: +54 11 4321-5678</w:t>
      </w:r>
    </w:p>
    <w:p>
      <w:pPr>
        <w:pStyle w:val="BodyText"/>
      </w:pPr>
      <w:r>
        <w:rPr>
          <w:bCs/>
          <w:b/>
        </w:rPr>
        <w:t xml:space="preserve">Prepared For:</w:t>
      </w:r>
      <w:r>
        <w:br/>
      </w:r>
      <w:r>
        <w:t xml:space="preserve">[Client Company Name]</w:t>
      </w:r>
      <w:r>
        <w:br/>
      </w:r>
      <w:r>
        <w:t xml:space="preserve">[Client Address]</w:t>
      </w:r>
      <w:r>
        <w:br/>
      </w:r>
      <w:r>
        <w:t xml:space="preserve">Buenos Aires, Argentina</w:t>
      </w:r>
      <w:r>
        <w:br/>
      </w:r>
      <w:r>
        <w:t xml:space="preserve">Contact: [Client Contact Name]</w:t>
      </w:r>
      <w:r>
        <w:br/>
      </w:r>
      <w:r>
        <w:t xml:space="preserve">Email: [client.email@company.com]</w:t>
      </w:r>
    </w:p>
    <w:bookmarkStart w:id="21" w:name="document-purpose-and-scope"/>
    <w:p>
      <w:pPr>
        <w:pStyle w:val="Heading2"/>
      </w:pPr>
      <w:r>
        <w:t xml:space="preserve">1. Document Purpose and Scope</w:t>
      </w:r>
    </w:p>
    <w:p>
      <w:pPr>
        <w:pStyle w:val="FirstParagraph"/>
      </w:pPr>
      <w:r>
        <w:t xml:space="preserve">This</w:t>
      </w:r>
      <w:r>
        <w:t xml:space="preserve"> </w:t>
      </w:r>
      <w:r>
        <w:t xml:space="preserve">Quotation Estimate</w:t>
      </w:r>
      <w:r>
        <w:t xml:space="preserve"> </w:t>
      </w:r>
      <w:r>
        <w:t xml:space="preserve">is issued by Nova Analytics Consulting S.R.L. to formally present the professional fees, deliverables, and engagement terms for the provision of a dedicated</w:t>
      </w:r>
      <w:r>
        <w:t xml:space="preserve"> </w:t>
      </w:r>
      <w:r>
        <w:t xml:space="preserve">Data Scientist</w:t>
      </w:r>
      <w:r>
        <w:t xml:space="preserve"> </w:t>
      </w:r>
      <w:r>
        <w:t xml:space="preserve">to support the client's analytics and machine learning initiatives. This Quotation Estimate is specifically tailored for operations based in</w:t>
      </w:r>
      <w:r>
        <w:t xml:space="preserve"> </w:t>
      </w:r>
      <w:r>
        <w:t xml:space="preserve">Argentina Buenos Aires</w:t>
      </w:r>
      <w:r>
        <w:t xml:space="preserve">, reflecting local market rates, applicable tax regulations under Argentine fiscal law, and the specific operational context of the Buenos Aires metropolitan area.</w:t>
      </w:r>
    </w:p>
    <w:p>
      <w:pPr>
        <w:pStyle w:val="BodyText"/>
      </w:pPr>
      <w:r>
        <w:t xml:space="preserve">The Data Scientist engagement described herein encompasses end-to-end data analytics services including data ingestion, exploratory data analysis, predictive modeling, natural language processing, and the deployment of machine learning pipelines. The Quotation Estimate covers a twelve-month initial contract period with the option to extend, and all pricing is expressed in Argentine Pesos (ARS) with a USD reference equivalent for international clients.</w:t>
      </w:r>
    </w:p>
    <w:bookmarkEnd w:id="21"/>
    <w:bookmarkStart w:id="22" w:name="professional-profile-data-scientist"/>
    <w:p>
      <w:pPr>
        <w:pStyle w:val="Heading2"/>
      </w:pPr>
      <w:r>
        <w:t xml:space="preserve">2. Professional Profile – Data Scientist</w:t>
      </w:r>
    </w:p>
    <w:p>
      <w:pPr>
        <w:pStyle w:val="FirstParagraph"/>
      </w:pPr>
      <w:r>
        <w:t xml:space="preserve">The Data Scientist proposed under this Quotation Estimate is a senior-level professional with a minimum of seven (7) years of experience in applied data science, machine learning, and statistical modeling. The candidate holds a Master's degree in Computer Science, Applied Mathematics, or a related quantitative field from a recognized institution in Argentina Buenos Aires or an equivalent international university.</w:t>
      </w:r>
    </w:p>
    <w:p>
      <w:pPr>
        <w:pStyle w:val="BodyText"/>
      </w:pPr>
      <w:r>
        <w:t xml:space="preserve">Core competencies of the Data Scientist include:</w:t>
      </w:r>
    </w:p>
    <w:p>
      <w:pPr>
        <w:numPr>
          <w:ilvl w:val="0"/>
          <w:numId w:val="1001"/>
        </w:numPr>
        <w:pStyle w:val="Compact"/>
      </w:pPr>
      <w:r>
        <w:t xml:space="preserve">Advanced proficiency in Python, R, SQL, and Scala for data manipulation and model development.</w:t>
      </w:r>
    </w:p>
    <w:p>
      <w:pPr>
        <w:numPr>
          <w:ilvl w:val="0"/>
          <w:numId w:val="1001"/>
        </w:numPr>
        <w:pStyle w:val="Compact"/>
      </w:pPr>
      <w:r>
        <w:t xml:space="preserve">Expertise in machine learning frameworks including scikit-learn, TensorFlow, PyTorch, and XGBoost.</w:t>
      </w:r>
    </w:p>
    <w:p>
      <w:pPr>
        <w:numPr>
          <w:ilvl w:val="0"/>
          <w:numId w:val="1001"/>
        </w:numPr>
        <w:pStyle w:val="Compact"/>
      </w:pPr>
      <w:r>
        <w:t xml:space="preserve">Experience with cloud-based data infrastructure (AWS, Azure, GCP) and distributed computing (Apache Spark, Databricks).</w:t>
      </w:r>
    </w:p>
    <w:p>
      <w:pPr>
        <w:numPr>
          <w:ilvl w:val="0"/>
          <w:numId w:val="1001"/>
        </w:numPr>
        <w:pStyle w:val="Compact"/>
      </w:pPr>
      <w:r>
        <w:t xml:space="preserve">Strong background in statistical inference, A/B testing, and causal inference methodologies.</w:t>
      </w:r>
    </w:p>
    <w:p>
      <w:pPr>
        <w:numPr>
          <w:ilvl w:val="0"/>
          <w:numId w:val="1001"/>
        </w:numPr>
        <w:pStyle w:val="Compact"/>
      </w:pPr>
      <w:r>
        <w:t xml:space="preserve">Demonstrated ability to translate complex analytical findings into actionable business recommendations for stakeholders.</w:t>
      </w:r>
    </w:p>
    <w:p>
      <w:pPr>
        <w:numPr>
          <w:ilvl w:val="0"/>
          <w:numId w:val="1001"/>
        </w:numPr>
        <w:pStyle w:val="Compact"/>
      </w:pPr>
      <w:r>
        <w:t xml:space="preserve">Fluency in English and Spanish, with working knowledge of the Argentine business and regulatory environment.</w:t>
      </w:r>
    </w:p>
    <w:p>
      <w:pPr>
        <w:numPr>
          <w:ilvl w:val="0"/>
          <w:numId w:val="1001"/>
        </w:numPr>
        <w:pStyle w:val="Compact"/>
      </w:pPr>
      <w:r>
        <w:t xml:space="preserve">Proven track record of deploying production-grade models in the financial services, retail, and telecommunications sectors within Argentina Buenos Aires.</w:t>
      </w:r>
    </w:p>
    <w:bookmarkEnd w:id="22"/>
    <w:bookmarkStart w:id="23" w:name="scope-of-work-and-deliverables"/>
    <w:p>
      <w:pPr>
        <w:pStyle w:val="Heading2"/>
      </w:pPr>
      <w:r>
        <w:t xml:space="preserve">3. Scope of Work and Deliverables</w:t>
      </w:r>
    </w:p>
    <w:p>
      <w:pPr>
        <w:pStyle w:val="FirstParagraph"/>
      </w:pPr>
      <w:r>
        <w:t xml:space="preserve">The Data Scientist will be embedded within the client's team and will report directly to the Head of Data &amp; Analytics. The following deliverables are included in this Quotation Estimate:</w:t>
      </w:r>
    </w:p>
    <w:p>
      <w:pPr>
        <w:numPr>
          <w:ilvl w:val="0"/>
          <w:numId w:val="1002"/>
        </w:numPr>
        <w:pStyle w:val="Compact"/>
      </w:pPr>
      <w:r>
        <w:rPr>
          <w:bCs/>
          <w:b/>
        </w:rPr>
        <w:t xml:space="preserve">Monthly Data Audits:</w:t>
      </w:r>
      <w:r>
        <w:t xml:space="preserve"> </w:t>
      </w:r>
      <w:r>
        <w:t xml:space="preserve">Comprehensive review of data pipelines, quality metrics, and schema integrity across all production databases hosted in the Buenos Aires region.</w:t>
      </w:r>
    </w:p>
    <w:p>
      <w:pPr>
        <w:numPr>
          <w:ilvl w:val="0"/>
          <w:numId w:val="1002"/>
        </w:numPr>
        <w:pStyle w:val="Compact"/>
      </w:pPr>
      <w:r>
        <w:rPr>
          <w:bCs/>
          <w:b/>
        </w:rPr>
        <w:t xml:space="preserve">Predictive Model Development:</w:t>
      </w:r>
      <w:r>
        <w:t xml:space="preserve"> </w:t>
      </w:r>
      <w:r>
        <w:t xml:space="preserve">Design, training, validation, and deployment of at least two (2) new predictive models per quarter, aligned with the client's strategic KPIs.</w:t>
      </w:r>
    </w:p>
    <w:p>
      <w:pPr>
        <w:numPr>
          <w:ilvl w:val="0"/>
          <w:numId w:val="1002"/>
        </w:numPr>
        <w:pStyle w:val="Compact"/>
      </w:pPr>
      <w:r>
        <w:rPr>
          <w:bCs/>
          <w:b/>
        </w:rPr>
        <w:t xml:space="preserve">Dashboard and Reporting:</w:t>
      </w:r>
      <w:r>
        <w:t xml:space="preserve"> </w:t>
      </w:r>
      <w:r>
        <w:t xml:space="preserve">Creation and maintenance of interactive dashboards (Tableau, Power BI, or equivalent) for executive and operational reporting.</w:t>
      </w:r>
    </w:p>
    <w:p>
      <w:pPr>
        <w:numPr>
          <w:ilvl w:val="0"/>
          <w:numId w:val="1002"/>
        </w:numPr>
        <w:pStyle w:val="Compact"/>
      </w:pPr>
      <w:r>
        <w:rPr>
          <w:bCs/>
          <w:b/>
        </w:rPr>
        <w:t xml:space="preserve">Technical Documentation:</w:t>
      </w:r>
      <w:r>
        <w:t xml:space="preserve"> </w:t>
      </w:r>
      <w:r>
        <w:t xml:space="preserve">Full documentation of all models, data dictionaries, and methodology reports delivered in both English and Spanish.</w:t>
      </w:r>
    </w:p>
    <w:p>
      <w:pPr>
        <w:numPr>
          <w:ilvl w:val="0"/>
          <w:numId w:val="1002"/>
        </w:numPr>
        <w:pStyle w:val="Compact"/>
      </w:pPr>
      <w:r>
        <w:rPr>
          <w:bCs/>
          <w:b/>
        </w:rPr>
        <w:t xml:space="preserve">Stakeholder Presentations:</w:t>
      </w:r>
      <w:r>
        <w:t xml:space="preserve"> </w:t>
      </w:r>
      <w:r>
        <w:t xml:space="preserve">Bi-weekly presentations to the client's leadership team summarizing insights, model performance, and recommended actions.</w:t>
      </w:r>
    </w:p>
    <w:p>
      <w:pPr>
        <w:numPr>
          <w:ilvl w:val="0"/>
          <w:numId w:val="1002"/>
        </w:numPr>
        <w:pStyle w:val="Compact"/>
      </w:pPr>
      <w:r>
        <w:rPr>
          <w:bCs/>
          <w:b/>
        </w:rPr>
        <w:t xml:space="preserve">Knowledge Transfer:</w:t>
      </w:r>
      <w:r>
        <w:t xml:space="preserve"> </w:t>
      </w:r>
      <w:r>
        <w:t xml:space="preserve">Monthly workshops for the internal data team to upskill junior analysts on advanced techniques.</w:t>
      </w:r>
    </w:p>
    <w:bookmarkEnd w:id="23"/>
    <w:bookmarkStart w:id="24" w:name="financial-breakdown-quotation-estimate"/>
    <w:p>
      <w:pPr>
        <w:pStyle w:val="Heading2"/>
      </w:pPr>
      <w:r>
        <w:t xml:space="preserve">4. Financial Breakdown – Quotation Estimate</w:t>
      </w:r>
    </w:p>
    <w:p>
      <w:pPr>
        <w:pStyle w:val="FirstParagraph"/>
      </w:pPr>
      <w:r>
        <w:t xml:space="preserve">The following table constitutes the financial component of this Quotation Estimate. All amounts are inclusive of the Data Scientist's professional fees, applicable social security contributions (obra social), and the consulting firm's administrative overhead. VAT (IVA) at the current Argentine rate of 21% is applied as indicated.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Monthly (ARS)</w:t>
            </w:r>
          </w:p>
        </w:tc>
        <w:tc>
          <w:tcPr/>
          <w:p>
            <w:pPr>
              <w:pStyle w:val="Compact"/>
              <w:jc w:val="left"/>
            </w:pPr>
            <w:r>
              <w:t xml:space="preserve">Annual (ARS)</w:t>
            </w:r>
          </w:p>
        </w:tc>
      </w:tr>
      <w:tr>
        <w:tc>
          <w:tcPr/>
          <w:p>
            <w:pPr>
              <w:pStyle w:val="Compact"/>
              <w:jc w:val="left"/>
            </w:pPr>
            <w:r>
              <w:t xml:space="preserve">1</w:t>
            </w:r>
          </w:p>
        </w:tc>
        <w:tc>
          <w:tcPr/>
          <w:p>
            <w:pPr>
              <w:pStyle w:val="Compact"/>
              <w:jc w:val="left"/>
            </w:pPr>
            <w:r>
              <w:t xml:space="preserve">Data Scientist – Senior Professional Fee</w:t>
            </w:r>
          </w:p>
        </w:tc>
        <w:tc>
          <w:tcPr/>
          <w:p>
            <w:pPr>
              <w:pStyle w:val="Compact"/>
              <w:jc w:val="left"/>
            </w:pPr>
            <w:r>
              <w:t xml:space="preserve">485,000</w:t>
            </w:r>
          </w:p>
        </w:tc>
        <w:tc>
          <w:tcPr/>
          <w:p>
            <w:pPr>
              <w:pStyle w:val="Compact"/>
              <w:jc w:val="left"/>
            </w:pPr>
            <w:r>
              <w:t xml:space="preserve">5,820,000</w:t>
            </w:r>
          </w:p>
        </w:tc>
      </w:tr>
      <w:tr>
        <w:tc>
          <w:tcPr/>
          <w:p>
            <w:pPr>
              <w:pStyle w:val="Compact"/>
              <w:jc w:val="left"/>
            </w:pPr>
            <w:r>
              <w:t xml:space="preserve">2</w:t>
            </w:r>
          </w:p>
        </w:tc>
        <w:tc>
          <w:tcPr/>
          <w:p>
            <w:pPr>
              <w:pStyle w:val="Compact"/>
              <w:jc w:val="left"/>
            </w:pPr>
            <w:r>
              <w:t xml:space="preserve">Social Security &amp; Labor Contributions (Argentina Buenos Aires)</w:t>
            </w:r>
          </w:p>
        </w:tc>
        <w:tc>
          <w:tcPr/>
          <w:p>
            <w:pPr>
              <w:pStyle w:val="Compact"/>
              <w:jc w:val="left"/>
            </w:pPr>
            <w:r>
              <w:t xml:space="preserve">145,500</w:t>
            </w:r>
          </w:p>
        </w:tc>
        <w:tc>
          <w:tcPr/>
          <w:p>
            <w:pPr>
              <w:pStyle w:val="Compact"/>
              <w:jc w:val="left"/>
            </w:pPr>
            <w:r>
              <w:t xml:space="preserve">1,746,000</w:t>
            </w:r>
          </w:p>
        </w:tc>
      </w:tr>
      <w:tr>
        <w:tc>
          <w:tcPr/>
          <w:p>
            <w:pPr>
              <w:pStyle w:val="Compact"/>
              <w:jc w:val="left"/>
            </w:pPr>
            <w:r>
              <w:t xml:space="preserve">3</w:t>
            </w:r>
          </w:p>
        </w:tc>
        <w:tc>
          <w:tcPr/>
          <w:p>
            <w:pPr>
              <w:pStyle w:val="Compact"/>
              <w:jc w:val="left"/>
            </w:pPr>
            <w:r>
              <w:t xml:space="preserve">Cloud Infrastructure &amp; Software Licenses (AWS, Tableau, JupyterHub)</w:t>
            </w:r>
          </w:p>
        </w:tc>
        <w:tc>
          <w:tcPr/>
          <w:p>
            <w:pPr>
              <w:pStyle w:val="Compact"/>
              <w:jc w:val="left"/>
            </w:pPr>
            <w:r>
              <w:t xml:space="preserve">92,000</w:t>
            </w:r>
          </w:p>
        </w:tc>
        <w:tc>
          <w:tcPr/>
          <w:p>
            <w:pPr>
              <w:pStyle w:val="Compact"/>
              <w:jc w:val="left"/>
            </w:pPr>
            <w:r>
              <w:t xml:space="preserve">1,104,000</w:t>
            </w:r>
          </w:p>
        </w:tc>
      </w:tr>
      <w:tr>
        <w:tc>
          <w:tcPr/>
          <w:p>
            <w:pPr>
              <w:pStyle w:val="Compact"/>
              <w:jc w:val="left"/>
            </w:pPr>
            <w:r>
              <w:t xml:space="preserve">4</w:t>
            </w:r>
          </w:p>
        </w:tc>
        <w:tc>
          <w:tcPr/>
          <w:p>
            <w:pPr>
              <w:pStyle w:val="Compact"/>
              <w:jc w:val="left"/>
            </w:pPr>
            <w:r>
              <w:t xml:space="preserve">Consulting Firm Administrative Overhead (15%)</w:t>
            </w:r>
          </w:p>
        </w:tc>
        <w:tc>
          <w:tcPr/>
          <w:p>
            <w:pPr>
              <w:pStyle w:val="Compact"/>
              <w:jc w:val="left"/>
            </w:pPr>
            <w:r>
              <w:t xml:space="preserve">92,250</w:t>
            </w:r>
          </w:p>
        </w:tc>
        <w:tc>
          <w:tcPr/>
          <w:p>
            <w:pPr>
              <w:pStyle w:val="Compact"/>
              <w:jc w:val="left"/>
            </w:pPr>
            <w:r>
              <w:t xml:space="preserve">1,107,000</w:t>
            </w:r>
          </w:p>
        </w:tc>
      </w:tr>
      <w:tr>
        <w:tc>
          <w:tcPr/>
          <w:p>
            <w:pPr>
              <w:pStyle w:val="Compact"/>
              <w:jc w:val="left"/>
            </w:pPr>
            <w:r>
              <w:t xml:space="preserve">5</w:t>
            </w:r>
          </w:p>
        </w:tc>
        <w:tc>
          <w:tcPr/>
          <w:p>
            <w:pPr>
              <w:pStyle w:val="Compact"/>
              <w:jc w:val="left"/>
            </w:pPr>
            <w:r>
              <w:t xml:space="preserve">Project Management &amp; Coordination</w:t>
            </w:r>
          </w:p>
        </w:tc>
        <w:tc>
          <w:tcPr/>
          <w:p>
            <w:pPr>
              <w:pStyle w:val="Compact"/>
              <w:jc w:val="left"/>
            </w:pPr>
            <w:r>
              <w:t xml:space="preserve">58,000</w:t>
            </w:r>
          </w:p>
        </w:tc>
        <w:tc>
          <w:tcPr/>
          <w:p>
            <w:pPr>
              <w:pStyle w:val="Compact"/>
              <w:jc w:val="left"/>
            </w:pPr>
            <w:r>
              <w:t xml:space="preserve">696,000</w:t>
            </w:r>
          </w:p>
        </w:tc>
      </w:tr>
      <w:tr>
        <w:tc>
          <w:tcPr/>
          <w:p>
            <w:pPr>
              <w:pStyle w:val="Compact"/>
              <w:jc w:val="left"/>
            </w:pPr>
            <w:r>
              <w:t xml:space="preserve">6</w:t>
            </w:r>
          </w:p>
        </w:tc>
        <w:tc>
          <w:tcPr/>
          <w:p>
            <w:pPr>
              <w:pStyle w:val="Compact"/>
              <w:jc w:val="left"/>
            </w:pPr>
            <w:r>
              <w:t xml:space="preserve">Subtotal (Excl. IVA)</w:t>
            </w:r>
          </w:p>
        </w:tc>
        <w:tc>
          <w:tcPr/>
          <w:p>
            <w:pPr>
              <w:pStyle w:val="Compact"/>
              <w:jc w:val="left"/>
            </w:pPr>
            <w:r>
              <w:t xml:space="preserve">872,750</w:t>
            </w:r>
          </w:p>
        </w:tc>
        <w:tc>
          <w:tcPr/>
          <w:p>
            <w:pPr>
              <w:pStyle w:val="Compact"/>
              <w:jc w:val="left"/>
            </w:pPr>
            <w:r>
              <w:t xml:space="preserve">10,473,000</w:t>
            </w:r>
          </w:p>
        </w:tc>
      </w:tr>
      <w:tr>
        <w:tc>
          <w:tcPr/>
          <w:p>
            <w:pPr>
              <w:pStyle w:val="Compact"/>
              <w:jc w:val="left"/>
            </w:pPr>
            <w:r>
              <w:t xml:space="preserve">7</w:t>
            </w:r>
          </w:p>
        </w:tc>
        <w:tc>
          <w:tcPr/>
          <w:p>
            <w:pPr>
              <w:pStyle w:val="Compact"/>
              <w:jc w:val="left"/>
            </w:pPr>
            <w:r>
              <w:t xml:space="preserve">IVA (21%)</w:t>
            </w:r>
          </w:p>
        </w:tc>
        <w:tc>
          <w:tcPr/>
          <w:p>
            <w:pPr>
              <w:pStyle w:val="Compact"/>
              <w:jc w:val="left"/>
            </w:pPr>
            <w:r>
              <w:t xml:space="preserve">183,278</w:t>
            </w:r>
          </w:p>
        </w:tc>
        <w:tc>
          <w:tcPr/>
          <w:p>
            <w:pPr>
              <w:pStyle w:val="Compact"/>
              <w:jc w:val="left"/>
            </w:pPr>
            <w:r>
              <w:t xml:space="preserve">2,199,330</w:t>
            </w:r>
          </w:p>
        </w:tc>
      </w:tr>
      <w:tr>
        <w:tc>
          <w:tcPr>
            <w:gridSpan w:val="2"/>
          </w:tcPr>
          <w:p>
            <w:pPr>
              <w:pStyle w:val="Compact"/>
              <w:jc w:val="left"/>
            </w:pPr>
            <w:r>
              <w:t xml:space="preserve">TOTAL ANNUAL – Quotation Estimate</w:t>
            </w:r>
          </w:p>
        </w:tc>
        <w:tc>
          <w:tcPr/>
          <w:p>
            <w:pPr>
              <w:pStyle w:val="Compact"/>
              <w:jc w:val="left"/>
            </w:pPr>
            <w:r>
              <w:t xml:space="preserve">1,056,028</w:t>
            </w:r>
          </w:p>
        </w:tc>
        <w:tc>
          <w:tcPr/>
          <w:p>
            <w:pPr>
              <w:pStyle w:val="Compact"/>
              <w:jc w:val="left"/>
            </w:pPr>
            <w:r>
              <w:t xml:space="preserve">12,672,330</w:t>
            </w:r>
          </w:p>
        </w:tc>
      </w:tr>
      <w:tr>
        <w:tc>
          <w:tcPr>
            <w:gridSpan w:val="2"/>
          </w:tcPr>
          <w:p>
            <w:pPr>
              <w:pStyle w:val="Compact"/>
              <w:jc w:val="left"/>
            </w:pPr>
            <w:r>
              <w:t xml:space="preserve">USD Reference (approx. ARS 1,050/USD)</w:t>
            </w:r>
          </w:p>
        </w:tc>
        <w:tc>
          <w:tcPr/>
          <w:p>
            <w:pPr>
              <w:pStyle w:val="Compact"/>
              <w:jc w:val="left"/>
            </w:pPr>
            <w:r>
              <w:t xml:space="preserve">~1,005.74</w:t>
            </w:r>
          </w:p>
        </w:tc>
        <w:tc>
          <w:tcPr/>
          <w:p>
            <w:pPr>
              <w:pStyle w:val="Compact"/>
              <w:jc w:val="left"/>
            </w:pPr>
            <w:r>
              <w:t xml:space="preserve">~12,068.89</w:t>
            </w:r>
          </w:p>
        </w:tc>
      </w:tr>
    </w:tbl>
    <w:p>
      <w:pPr>
        <w:pStyle w:val="BodyText"/>
      </w:pPr>
      <w:r>
        <w:rPr>
          <w:iCs/>
          <w:i/>
        </w:rPr>
        <w:t xml:space="preserve">Note: The USD reference is provided for informational purposes only. All contractual obligations under this Quotation Estimate are denominated in Argentine Pesos (ARS) in accordance with Argentine Central Bank (BCRA) regulations. Exchange rate fluctuations do not alter the ARS-denominated total.</w:t>
      </w:r>
    </w:p>
    <w:bookmarkEnd w:id="24"/>
    <w:bookmarkStart w:id="25" w:name="payment-terms-and-conditions"/>
    <w:p>
      <w:pPr>
        <w:pStyle w:val="Heading2"/>
      </w:pPr>
      <w:r>
        <w:t xml:space="preserve">5. Payment Terms and Conditions</w:t>
      </w:r>
    </w:p>
    <w:p>
      <w:pPr>
        <w:pStyle w:val="FirstParagraph"/>
      </w:pPr>
      <w:r>
        <w:t xml:space="preserve">Payment for the services outlined in this Quotation Estimate shall be made on a monthly basis, due within fifteen (15) calendar days of invoice issuance. Invoices will be issued on the first business day of each month for the preceding period. Late payments will accrue interest at the rate established by the Argentine Central Bank for overdue commercial obligations.</w:t>
      </w:r>
    </w:p>
    <w:p>
      <w:pPr>
        <w:pStyle w:val="BodyText"/>
      </w:pPr>
      <w:r>
        <w:t xml:space="preserve">The client is required to provide a 30-day written notice for any early termination of the Data Scientist engagement. In the event of early termination, the client shall be liable for all fees accrued up to the termination date plus a severance payment equivalent to one (1) month of the Data Scientist's professional fee.</w:t>
      </w:r>
    </w:p>
    <w:bookmarkEnd w:id="25"/>
    <w:bookmarkStart w:id="26" w:name="validity-and-acceptance"/>
    <w:p>
      <w:pPr>
        <w:pStyle w:val="Heading2"/>
      </w:pPr>
      <w:r>
        <w:t xml:space="preserve">6. Validity and Acceptance</w:t>
      </w:r>
    </w:p>
    <w:p>
      <w:pPr>
        <w:pStyle w:val="FirstParagraph"/>
      </w:pPr>
      <w:r>
        <w:t xml:space="preserve">This Quotation Estimate is valid for a period of thirty (30) calendar days from the date of issue. Upon the client's written acceptance, this document shall serve as the basis for the formal service agreement. Any modifications to the scope, deliverables, or financial terms must be documented in a formal addendum signed by both parties.</w:t>
      </w:r>
    </w:p>
    <w:p>
      <w:pPr>
        <w:pStyle w:val="BodyText"/>
      </w:pPr>
      <w:r>
        <w:t xml:space="preserve">All services will be performed in compliance with Argentine data protection legislation (Ley 25.326) and the General Data Protection Regulation (GDPR) where applicable to cross-border data flows. The Data Scientist will be bound by a strict Non-Disclosure Agreement (NDA) and Intellectual Property Assignment clause as part of the engagement contract.</w:t>
      </w:r>
    </w:p>
    <w:bookmarkEnd w:id="26"/>
    <w:bookmarkStart w:id="27" w:name="X274b1ff515033157db18015e5df06f47aa75e39"/>
    <w:p>
      <w:pPr>
        <w:pStyle w:val="Heading2"/>
      </w:pPr>
      <w:r>
        <w:t xml:space="preserve">7. Additional Notes for Argentina Buenos Aires Operations</w:t>
      </w:r>
    </w:p>
    <w:p>
      <w:pPr>
        <w:pStyle w:val="FirstParagraph"/>
      </w:pPr>
      <w:r>
        <w:t xml:space="preserve">The Data Scientist will operate from the Nova Analytics Consulting office located in the Microcentro district of Buenos Aires, with the option to work remotely up to three (3) days per week. All on-site work will be conducted in accordance with the Argentine Labor Code (Ley 20.744) and applicable collective bargaining agreements for the technology sector in Argentina Buenos Aires. The client is welcome to visit the office for in-person meetings, and the Data Scientist will travel to the client's premises in Buenos Aires or the Greater Buenos Aires area as required, with travel expenses included in the Quotation Estimate at no additional cost.</w:t>
      </w:r>
    </w:p>
    <w:bookmarkEnd w:id="27"/>
    <w:p>
      <w:pPr>
        <w:pStyle w:val="BodyText"/>
      </w:pPr>
      <w:r>
        <w:rPr>
          <w:bCs/>
          <w:b/>
        </w:rPr>
        <w:t xml:space="preserve">Authorized Signatory</w:t>
      </w:r>
      <w:r>
        <w:br/>
      </w:r>
      <w:r>
        <w:t xml:space="preserve">Nova Analytics Consulting S.R.L.</w:t>
      </w:r>
      <w:r>
        <w:br/>
      </w:r>
      <w:r>
        <w:t xml:space="preserve">Date: _______________</w:t>
      </w:r>
    </w:p>
    <w:p>
      <w:pPr>
        <w:pStyle w:val="BodyText"/>
      </w:pPr>
      <w:r>
        <w:rPr>
          <w:bCs/>
          <w:b/>
        </w:rPr>
        <w:t xml:space="preserve">Client Acceptance</w:t>
      </w:r>
      <w:r>
        <w:br/>
      </w:r>
      <w:r>
        <w:t xml:space="preserve">[Client Company Name]</w:t>
      </w:r>
      <w:r>
        <w:br/>
      </w:r>
      <w:r>
        <w:t xml:space="preserve">Date: _______________</w:t>
      </w:r>
    </w:p>
    <w:p>
      <w:pPr>
        <w:pStyle w:val="BodyText"/>
      </w:pPr>
      <w:r>
        <w:t xml:space="preserve">This Quotation Estimate document (Ref: QE-BA-2025-0472) is the property of Nova Analytics Consulting S.R.L. and is intended solely for the use of the addressee. Unauthorized reproduction or distribution is prohibited. For inquiries regarding this Quotation Estimate, Data Scientist availability, or Argentina Buenos Aires operational details, please contact proposals@novaanalytics.ar.</w:t>
      </w:r>
    </w:p>
    <w:p>
      <w:pPr>
        <w:pStyle w:val="BodyText"/>
      </w:pPr>
      <w:r>
        <w:t xml:space="preserve">© 2025 Nova Analytics Consulting S.R.L. – Buenos Aires, Argentina.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Data Scientist Services - Argentina Buenos Aires</dc:title>
  <dc:creator/>
  <dc:language>en</dc:language>
  <cp:keywords/>
  <dcterms:created xsi:type="dcterms:W3CDTF">2026-10-10T05:05:30Z</dcterms:created>
  <dcterms:modified xsi:type="dcterms:W3CDTF">2026-10-10T05:05:30Z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