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quotation-estimate"/>
    <w:p>
      <w:pPr>
        <w:pStyle w:val="Heading1"/>
      </w:pPr>
      <w:r>
        <w:t xml:space="preserve">QUOTATION ESTIMATE</w:t>
      </w:r>
    </w:p>
    <w:p>
      <w:pPr>
        <w:pStyle w:val="FirstParagraph"/>
      </w:pPr>
      <w:r>
        <w:rPr>
          <w:bCs/>
          <w:b/>
        </w:rPr>
        <w:t xml:space="preserve">Professional Data Scientist Services</w:t>
      </w:r>
    </w:p>
    <w:p>
      <w:pPr>
        <w:pStyle w:val="BodyText"/>
      </w:pPr>
      <w:r>
        <w:t xml:space="preserve">Colombia Bogotá — Professional Services Division</w:t>
      </w:r>
    </w:p>
    <w:p>
      <w:pPr>
        <w:pStyle w:val="BodyText"/>
      </w:pPr>
      <w:r>
        <w:t xml:space="preserve">Document Reference: QE-DB-2025-0472</w:t>
      </w:r>
    </w:p>
    <w:bookmarkEnd w:id="20"/>
    <w:p>
      <w:pPr>
        <w:pStyle w:val="BodyText"/>
      </w:pPr>
      <w:r>
        <w:rPr>
          <w:bCs/>
          <w:b/>
        </w:rPr>
        <w:t xml:space="preserve">Quotation Estimate No.:</w:t>
      </w:r>
      <w:r>
        <w:t xml:space="preserve"> </w:t>
      </w:r>
      <w:r>
        <w:t xml:space="preserve">QE-DB-2025-0472</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Location of Service:</w:t>
      </w:r>
      <w:r>
        <w:t xml:space="preserve"> </w:t>
      </w:r>
      <w:r>
        <w:t xml:space="preserve">Colombia Bogotá</w:t>
      </w:r>
    </w:p>
    <w:bookmarkStart w:id="21" w:name="client-information"/>
    <w:p>
      <w:pPr>
        <w:pStyle w:val="Heading2"/>
      </w:pPr>
      <w:r>
        <w:t xml:space="preserve">1.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[Client Company Name]</w:t>
            </w:r>
          </w:p>
        </w:tc>
      </w:tr>
      <w:tr>
        <w:tc>
          <w:tcPr/>
          <w:p>
            <w:pPr>
              <w:pStyle w:val="Compact"/>
              <w:jc w:val="left"/>
            </w:pPr>
            <w:r>
              <w:t xml:space="preserve">Contact Person</w:t>
            </w:r>
          </w:p>
        </w:tc>
        <w:tc>
          <w:tcPr/>
          <w:p>
            <w:pPr>
              <w:pStyle w:val="Compact"/>
              <w:jc w:val="left"/>
            </w:pPr>
            <w:r>
              <w:t xml:space="preserve">[Name and Title]</w:t>
            </w:r>
          </w:p>
        </w:tc>
      </w:tr>
      <w:tr>
        <w:tc>
          <w:tcPr/>
          <w:p>
            <w:pPr>
              <w:pStyle w:val="Compact"/>
              <w:jc w:val="left"/>
            </w:pPr>
            <w:r>
              <w:t xml:space="preserve">Address</w:t>
            </w:r>
          </w:p>
        </w:tc>
        <w:tc>
          <w:tcPr/>
          <w:p>
            <w:pPr>
              <w:pStyle w:val="Compact"/>
              <w:jc w:val="left"/>
            </w:pPr>
            <w:r>
              <w:t xml:space="preserve">[Street, Neighborhood], Colombia Bogotá, Cundinamarca</w:t>
            </w:r>
          </w:p>
        </w:tc>
      </w:tr>
      <w:tr>
        <w:tc>
          <w:tcPr/>
          <w:p>
            <w:pPr>
              <w:pStyle w:val="Compact"/>
              <w:jc w:val="left"/>
            </w:pPr>
            <w:r>
              <w:t xml:space="preserve">Email</w:t>
            </w:r>
          </w:p>
        </w:tc>
        <w:tc>
          <w:tcPr/>
          <w:p>
            <w:pPr>
              <w:pStyle w:val="Compact"/>
              <w:jc w:val="left"/>
            </w:pPr>
            <w:r>
              <w:t xml:space="preserve">[client.email@company.com]</w:t>
            </w:r>
          </w:p>
        </w:tc>
      </w:tr>
      <w:tr>
        <w:tc>
          <w:tcPr/>
          <w:p>
            <w:pPr>
              <w:pStyle w:val="Compact"/>
              <w:jc w:val="left"/>
            </w:pPr>
            <w:r>
              <w:t xml:space="preserve">Phone</w:t>
            </w:r>
          </w:p>
        </w:tc>
        <w:tc>
          <w:tcPr/>
          <w:p>
            <w:pPr>
              <w:pStyle w:val="Compact"/>
              <w:jc w:val="left"/>
            </w:pPr>
            <w:r>
              <w:t xml:space="preserve">+57 (601) XXX-XXXX</w:t>
            </w:r>
          </w:p>
        </w:tc>
      </w:tr>
    </w:tbl>
    <w:bookmarkEnd w:id="21"/>
    <w:bookmarkStart w:id="22" w:name="scope-of-work-data-scientist-engagement"/>
    <w:p>
      <w:pPr>
        <w:pStyle w:val="Heading2"/>
      </w:pPr>
      <w:r>
        <w:t xml:space="preserve">2. Scope of Work — Data Scientist Engagement</w:t>
      </w:r>
    </w:p>
    <w:p>
      <w:pPr>
        <w:pStyle w:val="FirstParagraph"/>
      </w:pPr>
      <w:r>
        <w:t xml:space="preserve">This</w:t>
      </w:r>
      <w:r>
        <w:t xml:space="preserve"> </w:t>
      </w:r>
      <w:r>
        <w:t xml:space="preserve">Quotation Estimate</w:t>
      </w:r>
      <w:r>
        <w:t xml:space="preserve"> </w:t>
      </w:r>
      <w:r>
        <w:t xml:space="preserve">is issued to formally outline the professional services to be rendered by a qualified</w:t>
      </w:r>
      <w:r>
        <w:t xml:space="preserve"> </w:t>
      </w:r>
      <w:r>
        <w:t xml:space="preserve">Data Scientist</w:t>
      </w:r>
      <w:r>
        <w:t xml:space="preserve"> </w:t>
      </w:r>
      <w:r>
        <w:t xml:space="preserve">operating within the metropolitan area of</w:t>
      </w:r>
      <w:r>
        <w:t xml:space="preserve"> </w:t>
      </w:r>
      <w:r>
        <w:t xml:space="preserve">Colombia Bogotá</w:t>
      </w:r>
      <w:r>
        <w:t xml:space="preserve">. The engagement encompasses the full spectrum of data analytics, machine learning model development, statistical analysis, and data-driven strategic consulting tailored to the specific operational needs of the client organization.</w:t>
      </w:r>
    </w:p>
    <w:p>
      <w:pPr>
        <w:pStyle w:val="BodyText"/>
      </w:pPr>
      <w:r>
        <w:t xml:space="preserve">The</w:t>
      </w:r>
      <w:r>
        <w:t xml:space="preserve"> </w:t>
      </w:r>
      <w:r>
        <w:t xml:space="preserve">Data Scientist</w:t>
      </w:r>
      <w:r>
        <w:t xml:space="preserve"> </w:t>
      </w:r>
      <w:r>
        <w:t xml:space="preserve">assigned to this project will be a senior-level professional with a minimum of seven (7) years of experience in applied data science, holding an advanced degree (Master's or Doctorate) in Statistics, Computer Science, Applied Mathematics, or a closely related quantitative discipline. The professional will be based in</w:t>
      </w:r>
      <w:r>
        <w:t xml:space="preserve"> </w:t>
      </w:r>
      <w:r>
        <w:t xml:space="preserve">Colombia Bogotá</w:t>
      </w:r>
      <w:r>
        <w:t xml:space="preserve"> </w:t>
      </w:r>
      <w:r>
        <w:t xml:space="preserve">and will conduct all on-site activities at the client's designated office premises within the city, ensuring proximity to local business ecosystems, regulatory frameworks, and industry-specific data sources available in the region.</w:t>
      </w:r>
    </w:p>
    <w:p>
      <w:pPr>
        <w:pStyle w:val="BodyText"/>
      </w:pPr>
      <w:r>
        <w:t xml:space="preserve">The scope of work includes, but is not limited to: exploratory data analysis (EDA) of existing corporate datasets; design, training, validation, and deployment of predictive and prescriptive machine learning models; development of natural language processing (NLP) pipelines for unstructured text data; construction of real-time data dashboards and visualization frameworks; implementation of A/B testing methodologies; and the preparation of executive-level analytical reports and strategic recommendations. All deliverables will be produced in accordance with the data governance standards and regulatory requirements applicable in</w:t>
      </w:r>
      <w:r>
        <w:t xml:space="preserve"> </w:t>
      </w:r>
      <w:r>
        <w:t xml:space="preserve">Colombia Bogotá</w:t>
      </w:r>
      <w:r>
        <w:t xml:space="preserve">, including compliance with the Colombian Data Protection Law (Ley 1581 de 2012) and the regulations established by the Superintendencia de Industria y Comercio.</w:t>
      </w:r>
    </w:p>
    <w:bookmarkEnd w:id="22"/>
    <w:bookmarkStart w:id="23" w:name="itemized-quotation-estimate-breakdown"/>
    <w:p>
      <w:pPr>
        <w:pStyle w:val="Heading2"/>
      </w:pPr>
      <w:r>
        <w:t xml:space="preserve">3. 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Rate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Initial Data Audit &amp; Discovery Phase — Comprehensive review of existing data infrastructure, data quality assessment, and requirements gathering conducted on-site in Colombia Bogotá.</w:t>
            </w:r>
          </w:p>
        </w:tc>
        <w:tc>
          <w:tcPr/>
          <w:p>
            <w:pPr>
              <w:pStyle w:val="Compact"/>
              <w:jc w:val="left"/>
            </w:pPr>
            <w:r>
              <w:t xml:space="preserve">2 weeks</w:t>
            </w:r>
          </w:p>
        </w:tc>
        <w:tc>
          <w:tcPr/>
          <w:p>
            <w:pPr>
              <w:pStyle w:val="Compact"/>
              <w:jc w:val="left"/>
            </w:pPr>
            <w:r>
              <w:t xml:space="preserve">$8,500,000 / week</w:t>
            </w:r>
          </w:p>
        </w:tc>
        <w:tc>
          <w:tcPr/>
          <w:p>
            <w:pPr>
              <w:pStyle w:val="Compact"/>
              <w:jc w:val="left"/>
            </w:pPr>
            <w:r>
              <w:t xml:space="preserve">$17,000,000</w:t>
            </w:r>
          </w:p>
        </w:tc>
      </w:tr>
      <w:tr>
        <w:tc>
          <w:tcPr/>
          <w:p>
            <w:pPr>
              <w:pStyle w:val="Compact"/>
              <w:jc w:val="left"/>
            </w:pPr>
            <w:r>
              <w:t xml:space="preserve">02</w:t>
            </w:r>
          </w:p>
        </w:tc>
        <w:tc>
          <w:tcPr/>
          <w:p>
            <w:pPr>
              <w:pStyle w:val="Compact"/>
              <w:jc w:val="left"/>
            </w:pPr>
            <w:r>
              <w:t xml:space="preserve">Machine Learning Model Development — Design, training, and hyperparameter tuning of predictive models (regression, classification, clustering) using Python, R, and TensorFlow frameworks.</w:t>
            </w:r>
          </w:p>
        </w:tc>
        <w:tc>
          <w:tcPr/>
          <w:p>
            <w:pPr>
              <w:pStyle w:val="Compact"/>
              <w:jc w:val="left"/>
            </w:pPr>
            <w:r>
              <w:t xml:space="preserve">6 weeks</w:t>
            </w:r>
          </w:p>
        </w:tc>
        <w:tc>
          <w:tcPr/>
          <w:p>
            <w:pPr>
              <w:pStyle w:val="Compact"/>
              <w:jc w:val="left"/>
            </w:pPr>
            <w:r>
              <w:t xml:space="preserve">$9,200,000 / week</w:t>
            </w:r>
          </w:p>
        </w:tc>
        <w:tc>
          <w:tcPr/>
          <w:p>
            <w:pPr>
              <w:pStyle w:val="Compact"/>
              <w:jc w:val="left"/>
            </w:pPr>
            <w:r>
              <w:t xml:space="preserve">$55,200,000</w:t>
            </w:r>
          </w:p>
        </w:tc>
      </w:tr>
      <w:tr>
        <w:tc>
          <w:tcPr/>
          <w:p>
            <w:pPr>
              <w:pStyle w:val="Compact"/>
              <w:jc w:val="left"/>
            </w:pPr>
            <w:r>
              <w:t xml:space="preserve">03</w:t>
            </w:r>
          </w:p>
        </w:tc>
        <w:tc>
          <w:tcPr/>
          <w:p>
            <w:pPr>
              <w:pStyle w:val="Compact"/>
              <w:jc w:val="left"/>
            </w:pPr>
            <w:r>
              <w:t xml:space="preserve">Natural Language Processing Pipeline — Development of NLP solutions for sentiment analysis, entity extraction, and automated text classification on Colombian Spanish-language corpora.</w:t>
            </w:r>
          </w:p>
        </w:tc>
        <w:tc>
          <w:tcPr/>
          <w:p>
            <w:pPr>
              <w:pStyle w:val="Compact"/>
              <w:jc w:val="left"/>
            </w:pPr>
            <w:r>
              <w:t xml:space="preserve">4 weeks</w:t>
            </w:r>
          </w:p>
        </w:tc>
        <w:tc>
          <w:tcPr/>
          <w:p>
            <w:pPr>
              <w:pStyle w:val="Compact"/>
              <w:jc w:val="left"/>
            </w:pPr>
            <w:r>
              <w:t xml:space="preserve">$9,200,000 / week</w:t>
            </w:r>
          </w:p>
        </w:tc>
        <w:tc>
          <w:tcPr/>
          <w:p>
            <w:pPr>
              <w:pStyle w:val="Compact"/>
              <w:jc w:val="left"/>
            </w:pPr>
            <w:r>
              <w:t xml:space="preserve">$36,800,000</w:t>
            </w:r>
          </w:p>
        </w:tc>
      </w:tr>
      <w:tr>
        <w:tc>
          <w:tcPr/>
          <w:p>
            <w:pPr>
              <w:pStyle w:val="Compact"/>
              <w:jc w:val="left"/>
            </w:pPr>
            <w:r>
              <w:t xml:space="preserve">04</w:t>
            </w:r>
          </w:p>
        </w:tc>
        <w:tc>
          <w:tcPr/>
          <w:p>
            <w:pPr>
              <w:pStyle w:val="Compact"/>
              <w:jc w:val="left"/>
            </w:pPr>
            <w:r>
              <w:t xml:space="preserve">Dashboard &amp; Visualization Engineering — Construction of interactive BI dashboards (Power BI / Tableau) with real-time data feeds and automated reporting schedules.</w:t>
            </w:r>
          </w:p>
        </w:tc>
        <w:tc>
          <w:tcPr/>
          <w:p>
            <w:pPr>
              <w:pStyle w:val="Compact"/>
              <w:jc w:val="left"/>
            </w:pPr>
            <w:r>
              <w:t xml:space="preserve">3 weeks</w:t>
            </w:r>
          </w:p>
        </w:tc>
        <w:tc>
          <w:tcPr/>
          <w:p>
            <w:pPr>
              <w:pStyle w:val="Compact"/>
              <w:jc w:val="left"/>
            </w:pPr>
            <w:r>
              <w:t xml:space="preserve">$7,800,000 / week</w:t>
            </w:r>
          </w:p>
        </w:tc>
        <w:tc>
          <w:tcPr/>
          <w:p>
            <w:pPr>
              <w:pStyle w:val="Compact"/>
              <w:jc w:val="left"/>
            </w:pPr>
            <w:r>
              <w:t xml:space="preserve">$23,400,000</w:t>
            </w:r>
          </w:p>
        </w:tc>
      </w:tr>
      <w:tr>
        <w:tc>
          <w:tcPr/>
          <w:p>
            <w:pPr>
              <w:pStyle w:val="Compact"/>
              <w:jc w:val="left"/>
            </w:pPr>
            <w:r>
              <w:t xml:space="preserve">05</w:t>
            </w:r>
          </w:p>
        </w:tc>
        <w:tc>
          <w:tcPr/>
          <w:p>
            <w:pPr>
              <w:pStyle w:val="Compact"/>
              <w:jc w:val="left"/>
            </w:pPr>
            <w:r>
              <w:t xml:space="preserve">Model Deployment &amp; MLOps Integration — Containerization, CI/CD pipeline setup, cloud deployment (AWS / GCP), and monitoring infrastructure configuration.</w:t>
            </w:r>
          </w:p>
        </w:tc>
        <w:tc>
          <w:tcPr/>
          <w:p>
            <w:pPr>
              <w:pStyle w:val="Compact"/>
              <w:jc w:val="left"/>
            </w:pPr>
            <w:r>
              <w:t xml:space="preserve">3 weeks</w:t>
            </w:r>
          </w:p>
        </w:tc>
        <w:tc>
          <w:tcPr/>
          <w:p>
            <w:pPr>
              <w:pStyle w:val="Compact"/>
              <w:jc w:val="left"/>
            </w:pPr>
            <w:r>
              <w:t xml:space="preserve">$9,500,000 / week</w:t>
            </w:r>
          </w:p>
        </w:tc>
        <w:tc>
          <w:tcPr/>
          <w:p>
            <w:pPr>
              <w:pStyle w:val="Compact"/>
              <w:jc w:val="left"/>
            </w:pPr>
            <w:r>
              <w:t xml:space="preserve">$28,500,000</w:t>
            </w:r>
          </w:p>
        </w:tc>
      </w:tr>
      <w:tr>
        <w:tc>
          <w:tcPr/>
          <w:p>
            <w:pPr>
              <w:pStyle w:val="Compact"/>
              <w:jc w:val="left"/>
            </w:pPr>
            <w:r>
              <w:t xml:space="preserve">06</w:t>
            </w:r>
          </w:p>
        </w:tc>
        <w:tc>
          <w:tcPr/>
          <w:p>
            <w:pPr>
              <w:pStyle w:val="Compact"/>
              <w:jc w:val="left"/>
            </w:pPr>
            <w:r>
              <w:t xml:space="preserve">Knowledge Transfer &amp; Team Training — Four (4) half-day workshops for the client's internal analytics team, conducted in Colombia Bogotá, covering model interpretation, maintenance protocols, and advanced analytics techniques.</w:t>
            </w:r>
          </w:p>
        </w:tc>
        <w:tc>
          <w:tcPr/>
          <w:p>
            <w:pPr>
              <w:pStyle w:val="Compact"/>
              <w:jc w:val="left"/>
            </w:pPr>
            <w:r>
              <w:t xml:space="preserve">2 weeks</w:t>
            </w:r>
          </w:p>
        </w:tc>
        <w:tc>
          <w:tcPr/>
          <w:p>
            <w:pPr>
              <w:pStyle w:val="Compact"/>
              <w:jc w:val="left"/>
            </w:pPr>
            <w:r>
              <w:t xml:space="preserve">$6,500,000 / week</w:t>
            </w:r>
          </w:p>
        </w:tc>
        <w:tc>
          <w:tcPr/>
          <w:p>
            <w:pPr>
              <w:pStyle w:val="Compact"/>
              <w:jc w:val="left"/>
            </w:pPr>
            <w:r>
              <w:t xml:space="preserve">$13,000,000</w:t>
            </w:r>
          </w:p>
        </w:tc>
      </w:tr>
      <w:tr>
        <w:tc>
          <w:tcPr/>
          <w:p>
            <w:pPr>
              <w:pStyle w:val="Compact"/>
              <w:jc w:val="left"/>
            </w:pPr>
            <w:r>
              <w:t xml:space="preserve">07</w:t>
            </w:r>
          </w:p>
        </w:tc>
        <w:tc>
          <w:tcPr/>
          <w:p>
            <w:pPr>
              <w:pStyle w:val="Compact"/>
              <w:jc w:val="left"/>
            </w:pPr>
            <w:r>
              <w:t xml:space="preserve">Post-Deployment Support &amp; Optimization — Ongoing model performance monitoring, retraining cycles, and iterative improvement over a 30-day support window.</w:t>
            </w:r>
          </w:p>
        </w:tc>
        <w:tc>
          <w:tcPr/>
          <w:p>
            <w:pPr>
              <w:pStyle w:val="Compact"/>
              <w:jc w:val="left"/>
            </w:pPr>
            <w:r>
              <w:t xml:space="preserve">1 month</w:t>
            </w:r>
          </w:p>
        </w:tc>
        <w:tc>
          <w:tcPr/>
          <w:p>
            <w:pPr>
              <w:pStyle w:val="Compact"/>
              <w:jc w:val="left"/>
            </w:pPr>
            <w:r>
              <w:t xml:space="preserve">$12,000,000 / month</w:t>
            </w:r>
          </w:p>
        </w:tc>
        <w:tc>
          <w:tcPr/>
          <w:p>
            <w:pPr>
              <w:pStyle w:val="Compact"/>
              <w:jc w:val="left"/>
            </w:pPr>
            <w:r>
              <w:t xml:space="preserve">$12,000,000</w:t>
            </w:r>
          </w:p>
        </w:tc>
      </w:tr>
      <w:tr>
        <w:tc>
          <w:tcPr>
            <w:gridSpan w:val="4"/>
          </w:tcPr>
          <w:p>
            <w:pPr>
              <w:pStyle w:val="Compact"/>
              <w:jc w:val="right"/>
            </w:pPr>
            <w:r>
              <w:t xml:space="preserve">TOTAL QUOTATION ESTIMATE (COP):</w:t>
            </w:r>
          </w:p>
        </w:tc>
        <w:tc>
          <w:tcPr/>
          <w:p>
            <w:pPr>
              <w:pStyle w:val="Compact"/>
              <w:jc w:val="left"/>
            </w:pPr>
            <w:r>
              <w:t xml:space="preserve">$185,900,000</w:t>
            </w:r>
          </w:p>
        </w:tc>
      </w:tr>
      <w:tr>
        <w:tc>
          <w:tcPr>
            <w:gridSpan w:val="4"/>
          </w:tcPr>
          <w:p>
            <w:pPr>
              <w:pStyle w:val="Compact"/>
              <w:jc w:val="right"/>
            </w:pPr>
            <w:r>
              <w:t xml:space="preserve">TOTAL QUOTATION ESTIMATE (USD, approx. at 3,950 COP/USD):</w:t>
            </w:r>
          </w:p>
        </w:tc>
        <w:tc>
          <w:tcPr/>
          <w:p>
            <w:pPr>
              <w:pStyle w:val="Compact"/>
              <w:jc w:val="left"/>
            </w:pPr>
            <w:r>
              <w:t xml:space="preserve">$47,063.29</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expiration date, pricing and availability of the Data Scientist may be subject to revision based on market conditions in Colombia Bogotá.</w:t>
      </w:r>
    </w:p>
    <w:p>
      <w:pPr>
        <w:numPr>
          <w:ilvl w:val="0"/>
          <w:numId w:val="1001"/>
        </w:numPr>
        <w:pStyle w:val="Compact"/>
      </w:pPr>
      <w:r>
        <w:rPr>
          <w:bCs/>
          <w:b/>
        </w:rPr>
        <w:t xml:space="preserve">Payment Schedule:</w:t>
      </w:r>
      <w:r>
        <w:t xml:space="preserve"> </w:t>
      </w:r>
      <w:r>
        <w:t xml:space="preserve">30% advance payment upon contract execution; 40% upon completion of the Model Development phase (Item 02); 30% upon final delivery and acceptance of all deliverables. All payments shall be made in Colombian Pesos (COP) via bank transfer to the account designated in the service agreement.</w:t>
      </w:r>
    </w:p>
    <w:p>
      <w:pPr>
        <w:numPr>
          <w:ilvl w:val="0"/>
          <w:numId w:val="1001"/>
        </w:numPr>
        <w:pStyle w:val="Compact"/>
      </w:pPr>
      <w:r>
        <w:rPr>
          <w:bCs/>
          <w:b/>
        </w:rPr>
        <w:t xml:space="preserve">Working Hours:</w:t>
      </w:r>
      <w:r>
        <w:t xml:space="preserve"> </w:t>
      </w:r>
      <w:r>
        <w:t xml:space="preserve">The Data Scientist will operate on a standard schedule of Monday through Friday, 8:00 AM to 5:00 PM (Colombia time, UTC-5), with a maximum of 40 hours per week. Overtime, if required, will be billed at 1.5x the standard hourly rate and must be pre-approved in writing by the client.</w:t>
      </w:r>
    </w:p>
    <w:p>
      <w:pPr>
        <w:numPr>
          <w:ilvl w:val="0"/>
          <w:numId w:val="1001"/>
        </w:numPr>
        <w:pStyle w:val="Compact"/>
      </w:pPr>
      <w:r>
        <w:rPr>
          <w:bCs/>
          <w:b/>
        </w:rPr>
        <w:t xml:space="preserve">Confidentiality &amp; Data Protection:</w:t>
      </w:r>
      <w:r>
        <w:t xml:space="preserve"> </w:t>
      </w:r>
      <w:r>
        <w:t xml:space="preserve">The Data Scientist and the service provider are bound by a strict Non-Disclosure Agreement (NDA) and will comply fully with Ley 1581 de 2012 (Colombian Data Protection Law) and all applicable regulations enforced by the Superintendencia de Industria y Comercio in Colombia Bogotá. All client data will be processed exclusively within the client's secure environment or approved cloud infrastructure.</w:t>
      </w:r>
    </w:p>
    <w:p>
      <w:pPr>
        <w:numPr>
          <w:ilvl w:val="0"/>
          <w:numId w:val="1001"/>
        </w:numPr>
        <w:pStyle w:val="Compact"/>
      </w:pPr>
      <w:r>
        <w:rPr>
          <w:bCs/>
          <w:b/>
        </w:rPr>
        <w:t xml:space="preserve">Intellectual Property:</w:t>
      </w:r>
      <w:r>
        <w:t xml:space="preserve"> </w:t>
      </w:r>
      <w:r>
        <w:t xml:space="preserve">All models, code, documentation, and analytical outputs produced under this engagement shall become the exclusive property of the client upon full payment. The Data Scientist retains the right to reference the project in a general, anonymized capacity for professional portfolio purposes, subject to prior written consent from the client.</w:t>
      </w:r>
    </w:p>
    <w:p>
      <w:pPr>
        <w:numPr>
          <w:ilvl w:val="0"/>
          <w:numId w:val="1001"/>
        </w:numPr>
        <w:pStyle w:val="Compact"/>
      </w:pPr>
      <w:r>
        <w:rPr>
          <w:bCs/>
          <w:b/>
        </w:rPr>
        <w:t xml:space="preserve">Revisions:</w:t>
      </w:r>
      <w:r>
        <w:t xml:space="preserve"> </w:t>
      </w:r>
      <w:r>
        <w:t xml:space="preserve">The Quotation Estimate includes up to two (2) rounds of revisions per deliverable. Additional revision cycles will be quoted separately at the applicable hourly rate.</w:t>
      </w:r>
    </w:p>
    <w:p>
      <w:pPr>
        <w:numPr>
          <w:ilvl w:val="0"/>
          <w:numId w:val="1001"/>
        </w:numPr>
        <w:pStyle w:val="Compact"/>
      </w:pPr>
      <w:r>
        <w:rPr>
          <w:bCs/>
          <w:b/>
        </w:rPr>
        <w:t xml:space="preserve">Termination:</w:t>
      </w:r>
      <w:r>
        <w:t xml:space="preserve"> </w:t>
      </w:r>
      <w:r>
        <w:t xml:space="preserve">Either party may terminate the engagement with fifteen (15) days' written notice. In the event of early termination, the client shall pay for all services rendered up to the termination date, plus a 10% administrative fee.</w:t>
      </w:r>
    </w:p>
    <w:p>
      <w:pPr>
        <w:numPr>
          <w:ilvl w:val="0"/>
          <w:numId w:val="1001"/>
        </w:numPr>
        <w:pStyle w:val="Compact"/>
      </w:pPr>
      <w:r>
        <w:rPr>
          <w:bCs/>
          <w:b/>
        </w:rPr>
        <w:t xml:space="preserve">Governing Law:</w:t>
      </w:r>
      <w:r>
        <w:t xml:space="preserve"> </w:t>
      </w:r>
      <w:r>
        <w:t xml:space="preserve">This Quotation Estimate and any resulting service agreement shall be governed by and construed in accordance with the commercial laws of the Republic of Colombia. Any disputes shall be resolved through the competent commercial courts of Colombia Bogotá.</w:t>
      </w:r>
    </w:p>
    <w:p>
      <w:pPr>
        <w:numPr>
          <w:ilvl w:val="0"/>
          <w:numId w:val="1001"/>
        </w:numPr>
        <w:pStyle w:val="Compact"/>
      </w:pPr>
      <w:r>
        <w:rPr>
          <w:bCs/>
          <w:b/>
        </w:rPr>
        <w:t xml:space="preserve">Applicable Taxes:</w:t>
      </w:r>
      <w:r>
        <w:t xml:space="preserve"> </w:t>
      </w:r>
      <w:r>
        <w:t xml:space="preserve">All amounts stated in this Quotation Estimate are exclusive of Value Added Tax (IVA). The applicable IVA rate of 19% will be added to the total upon invoicing, in accordance with Colombian tax regulations.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pricing outlined herein for the engagement of the Data Scientist in Colombia Bogotá. This document, once countersigned by both parties, constitutes a binding commercial proposal and shall serve as the basis for the execution of the definitive Service Level Agreement (SLA).</w:t>
      </w:r>
    </w:p>
    <w:p>
      <w:pPr>
        <w:pStyle w:val="BodyText"/>
      </w:pPr>
      <w:r>
        <w:rPr>
          <w:bCs/>
          <w:b/>
        </w:rPr>
        <w:t xml:space="preserve">For the Service Provider</w:t>
      </w:r>
      <w:r>
        <w:br/>
      </w:r>
      <w:r>
        <w:t xml:space="preserve">Name: ___________________________</w:t>
      </w:r>
      <w:r>
        <w:br/>
      </w:r>
      <w:r>
        <w:t xml:space="preserve">Title: Lead Data Scientist / Project Director</w:t>
      </w:r>
      <w:r>
        <w:br/>
      </w:r>
      <w:r>
        <w:t xml:space="preserve">Date: ___________________________</w:t>
      </w:r>
    </w:p>
    <w:p>
      <w:pPr>
        <w:pStyle w:val="BodyText"/>
      </w:pPr>
      <w:r>
        <w:rPr>
          <w:bCs/>
          <w:b/>
        </w:rPr>
        <w:t xml:space="preserve">For the Client</w:t>
      </w:r>
      <w:r>
        <w:br/>
      </w:r>
      <w:r>
        <w:t xml:space="preserve">Name: ___________________________</w:t>
      </w:r>
      <w:r>
        <w:br/>
      </w:r>
      <w:r>
        <w:t xml:space="preserve">Title: ___________________________</w:t>
      </w:r>
      <w:r>
        <w:br/>
      </w:r>
      <w:r>
        <w:t xml:space="preserve">Date: ___________________________</w:t>
      </w:r>
    </w:p>
    <w:p>
      <w:pPr>
        <w:pStyle w:val="BodyText"/>
      </w:pPr>
      <w:r>
        <w:t xml:space="preserve">Quotation Estimate QE-DB-2025-0472 — Data Scientist Professional Services — Colombia Bogotá</w:t>
      </w:r>
      <w:r>
        <w:br/>
      </w:r>
      <w:r>
        <w:t xml:space="preserve">This document is confidential and intended solely for the named recipient. Unauthorized reproduction or distribution is prohibited.</w:t>
      </w:r>
      <w:r>
        <w:br/>
      </w:r>
      <w:r>
        <w:t xml:space="preserve">© 2025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Services - Colombia Bogotá</dc:title>
  <dc:creator/>
  <dc:language>en</dc:language>
  <cp:keywords/>
  <dcterms:created xsi:type="dcterms:W3CDTF">2026-10-10T02:33:50Z</dcterms:created>
  <dcterms:modified xsi:type="dcterms:W3CDTF">2026-10-10T02:33:50Z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