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t xml:space="preserve">Professional Data Scientist Services — Colombia, Medellín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Document Reference:</w:t>
            </w:r>
          </w:p>
        </w:tc>
        <w:tc>
          <w:tcPr/>
          <w:p>
            <w:pPr>
              <w:pStyle w:val="Compact"/>
              <w:jc w:val="left"/>
            </w:pPr>
            <w:r>
              <w:t xml:space="preserve">QE-DS-MDE-2025-0047</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Validity Period:</w:t>
            </w:r>
          </w:p>
        </w:tc>
        <w:tc>
          <w:tcPr/>
          <w:p>
            <w:pPr>
              <w:pStyle w:val="Compact"/>
              <w:jc w:val="left"/>
            </w:pPr>
            <w:r>
              <w:t xml:space="preserve">30 calendar days from the date of issue</w:t>
            </w:r>
          </w:p>
        </w:tc>
      </w:tr>
      <w:tr>
        <w:tc>
          <w:tcPr/>
          <w:p>
            <w:pPr>
              <w:pStyle w:val="Compact"/>
              <w:jc w:val="left"/>
            </w:pPr>
            <w:r>
              <w:t xml:space="preserve">Prepared For:</w:t>
            </w:r>
          </w:p>
        </w:tc>
        <w:tc>
          <w:tcPr/>
          <w:p>
            <w:pPr>
              <w:pStyle w:val="Compact"/>
              <w:jc w:val="left"/>
            </w:pPr>
            <w:r>
              <w:t xml:space="preserve">Client Organization (Name to be confirmed upon acceptance)</w:t>
            </w:r>
          </w:p>
        </w:tc>
      </w:tr>
      <w:tr>
        <w:tc>
          <w:tcPr/>
          <w:p>
            <w:pPr>
              <w:pStyle w:val="Compact"/>
              <w:jc w:val="left"/>
            </w:pPr>
            <w:r>
              <w:t xml:space="preserve">Prepared By:</w:t>
            </w:r>
          </w:p>
        </w:tc>
        <w:tc>
          <w:tcPr/>
          <w:p>
            <w:pPr>
              <w:pStyle w:val="Compact"/>
              <w:jc w:val="left"/>
            </w:pPr>
            <w:r>
              <w:t xml:space="preserve">Andrés R. Villamizar — Lead Consultant, Data Science Division</w:t>
            </w:r>
          </w:p>
        </w:tc>
      </w:tr>
      <w:tr>
        <w:tc>
          <w:tcPr/>
          <w:p>
            <w:pPr>
              <w:pStyle w:val="Compact"/>
              <w:jc w:val="left"/>
            </w:pPr>
            <w:r>
              <w:t xml:space="preserve">Service Location:</w:t>
            </w:r>
          </w:p>
        </w:tc>
        <w:tc>
          <w:tcPr/>
          <w:p>
            <w:pPr>
              <w:pStyle w:val="Compact"/>
              <w:jc w:val="left"/>
            </w:pPr>
            <w:r>
              <w:t xml:space="preserve">Colombia, Medellín — El Poblado / Laureles Districts</w:t>
            </w:r>
          </w:p>
        </w:tc>
      </w:tr>
      <w:tr>
        <w:tc>
          <w:tcPr/>
          <w:p>
            <w:pPr>
              <w:pStyle w:val="Compact"/>
              <w:jc w:val="left"/>
            </w:pPr>
            <w:r>
              <w:t xml:space="preserve">Currency:</w:t>
            </w:r>
          </w:p>
        </w:tc>
        <w:tc>
          <w:tcPr/>
          <w:p>
            <w:pPr>
              <w:pStyle w:val="Compact"/>
              <w:jc w:val="left"/>
            </w:pPr>
            <w:r>
              <w:t xml:space="preserve">Colombian Peso (COP) / US Dollar (USD)</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presented to outline the scope, deliverables, timeline, and associated costs for the engagement of a senior</w:t>
      </w:r>
      <w:r>
        <w:t xml:space="preserve"> </w:t>
      </w:r>
      <w:r>
        <w:t xml:space="preserve">Data Scientist</w:t>
      </w:r>
      <w:r>
        <w:t xml:space="preserve"> </w:t>
      </w:r>
      <w:r>
        <w:t xml:space="preserve">to support your organization's analytics and machine learning initiatives. The proposed engagement is specifically tailored to the operational and economic context of</w:t>
      </w:r>
      <w:r>
        <w:t xml:space="preserve"> </w:t>
      </w:r>
      <w:r>
        <w:t xml:space="preserve">Colombia, Medellín</w:t>
      </w:r>
      <w:r>
        <w:t xml:space="preserve">, taking into account local market rates, regulatory considerations, and the unique technological ecosystem that has made Medellín one of Latin America's leading innovation hubs.</w:t>
      </w:r>
    </w:p>
    <w:p>
      <w:pPr>
        <w:pStyle w:val="BodyText"/>
      </w:pPr>
      <w:r>
        <w:t xml:space="preserve">The</w:t>
      </w:r>
      <w:r>
        <w:t xml:space="preserve"> </w:t>
      </w:r>
      <w:r>
        <w:t xml:space="preserve">Data Scientist</w:t>
      </w:r>
      <w:r>
        <w:t xml:space="preserve"> </w:t>
      </w:r>
      <w:r>
        <w:t xml:space="preserve">proposed for this engagement brings over eight years of professional experience in predictive modeling, natural language processing, and large-scale data engineering. The candidate is a Colombian national, fully fluent in both Spanish and English, and is currently based in the Medellín metropolitan area, ensuring seamless on-site collaboration and cultural alignment with your team.</w:t>
      </w:r>
    </w:p>
    <w:bookmarkEnd w:id="21"/>
    <w:bookmarkStart w:id="22" w:name="scope-of-work"/>
    <w:p>
      <w:pPr>
        <w:pStyle w:val="Heading2"/>
      </w:pPr>
      <w:r>
        <w:t xml:space="preserve">2. Scope of Work</w:t>
      </w:r>
    </w:p>
    <w:p>
      <w:pPr>
        <w:pStyle w:val="FirstParagraph"/>
      </w:pPr>
      <w:r>
        <w:t xml:space="preserve">The</w:t>
      </w:r>
      <w:r>
        <w:t xml:space="preserve"> </w:t>
      </w:r>
      <w:r>
        <w:t xml:space="preserve">Data Scientist</w:t>
      </w:r>
      <w:r>
        <w:t xml:space="preserve"> </w:t>
      </w:r>
      <w:r>
        <w:t xml:space="preserve">will be responsible for the following core activities throughout the engagement period:</w:t>
      </w:r>
    </w:p>
    <w:p>
      <w:pPr>
        <w:numPr>
          <w:ilvl w:val="0"/>
          <w:numId w:val="1001"/>
        </w:numPr>
        <w:pStyle w:val="Compact"/>
      </w:pPr>
      <w:r>
        <w:rPr>
          <w:bCs/>
          <w:b/>
        </w:rPr>
        <w:t xml:space="preserve">Data Acquisition &amp; Engineering:</w:t>
      </w:r>
      <w:r>
        <w:t xml:space="preserve"> </w:t>
      </w:r>
      <w:r>
        <w:t xml:space="preserve">Designing and implementing robust pipelines to ingest, clean, and transform structured and unstructured data from multiple sources, including local Colombian databases, third-party APIs, and proprietary enterprise systems.</w:t>
      </w:r>
    </w:p>
    <w:p>
      <w:pPr>
        <w:numPr>
          <w:ilvl w:val="0"/>
          <w:numId w:val="1001"/>
        </w:numPr>
        <w:pStyle w:val="Compact"/>
      </w:pPr>
      <w:r>
        <w:rPr>
          <w:bCs/>
          <w:b/>
        </w:rPr>
        <w:t xml:space="preserve">Exploratory Data Analysis (EDA):</w:t>
      </w:r>
      <w:r>
        <w:t xml:space="preserve"> </w:t>
      </w:r>
      <w:r>
        <w:t xml:space="preserve">Conducting comprehensive statistical analyses to identify patterns, anomalies, and correlations relevant to the client's business objectives within the Medellín market context.</w:t>
      </w:r>
    </w:p>
    <w:p>
      <w:pPr>
        <w:numPr>
          <w:ilvl w:val="0"/>
          <w:numId w:val="1001"/>
        </w:numPr>
        <w:pStyle w:val="Compact"/>
      </w:pPr>
      <w:r>
        <w:rPr>
          <w:bCs/>
          <w:b/>
        </w:rPr>
        <w:t xml:space="preserve">Predictive Modeling &amp; Machine Learning:</w:t>
      </w:r>
      <w:r>
        <w:t xml:space="preserve"> </w:t>
      </w:r>
      <w:r>
        <w:t xml:space="preserve">Developing, training, validating, and deploying machine learning models for forecasting, classification, and optimization tasks. This includes the use of Python, R, TensorFlow, PyTorch, and scikit-learn frameworks.</w:t>
      </w:r>
    </w:p>
    <w:p>
      <w:pPr>
        <w:numPr>
          <w:ilvl w:val="0"/>
          <w:numId w:val="1001"/>
        </w:numPr>
        <w:pStyle w:val="Compact"/>
      </w:pPr>
      <w:r>
        <w:rPr>
          <w:bCs/>
          <w:b/>
        </w:rPr>
        <w:t xml:space="preserve">Natural Language Processing (NLP):</w:t>
      </w:r>
      <w:r>
        <w:t xml:space="preserve"> </w:t>
      </w:r>
      <w:r>
        <w:t xml:space="preserve">Building sentiment analysis and text classification models specifically adapted to Colombian Spanish dialects and local business terminology, a critical consideration for any NLP deployment in</w:t>
      </w:r>
      <w:r>
        <w:t xml:space="preserve"> </w:t>
      </w:r>
      <w:r>
        <w:t xml:space="preserve">Colombia, Medellín</w:t>
      </w:r>
      <w:r>
        <w:t xml:space="preserve">.</w:t>
      </w:r>
    </w:p>
    <w:p>
      <w:pPr>
        <w:numPr>
          <w:ilvl w:val="0"/>
          <w:numId w:val="1001"/>
        </w:numPr>
        <w:pStyle w:val="Compact"/>
      </w:pPr>
      <w:r>
        <w:rPr>
          <w:bCs/>
          <w:b/>
        </w:rPr>
        <w:t xml:space="preserve">Dashboarding &amp; Reporting:</w:t>
      </w:r>
      <w:r>
        <w:t xml:space="preserve"> </w:t>
      </w:r>
      <w:r>
        <w:t xml:space="preserve">Creating interactive visualizations using Tableau, Power BI, or custom Python-based dashboards to communicate insights to stakeholders at all organizational levels.</w:t>
      </w:r>
    </w:p>
    <w:p>
      <w:pPr>
        <w:numPr>
          <w:ilvl w:val="0"/>
          <w:numId w:val="1001"/>
        </w:numPr>
        <w:pStyle w:val="Compact"/>
      </w:pPr>
      <w:r>
        <w:rPr>
          <w:bCs/>
          <w:b/>
        </w:rPr>
        <w:t xml:space="preserve">Knowledge Transfer &amp; Training:</w:t>
      </w:r>
      <w:r>
        <w:t xml:space="preserve"> </w:t>
      </w:r>
      <w:r>
        <w:t xml:space="preserve">Conducting weekly workshops and documentation sessions to upskill the internal team, ensuring long-term sustainability of the data science capabilities established during this engagement.</w:t>
      </w:r>
    </w:p>
    <w:bookmarkEnd w:id="22"/>
    <w:bookmarkStart w:id="23" w:name="deliverables"/>
    <w:p>
      <w:pPr>
        <w:pStyle w:val="Heading2"/>
      </w:pPr>
      <w:r>
        <w:t xml:space="preserve">3. Deliverables</w:t>
      </w:r>
    </w:p>
    <w:p>
      <w:pPr>
        <w:pStyle w:val="FirstParagraph"/>
      </w:pPr>
      <w:r>
        <w:t xml:space="preserve">Upon completion of each project phase, the</w:t>
      </w:r>
      <w:r>
        <w:t xml:space="preserve"> </w:t>
      </w:r>
      <w:r>
        <w:t xml:space="preserve">Data Scientist</w:t>
      </w:r>
      <w:r>
        <w:t xml:space="preserve"> </w:t>
      </w:r>
      <w:r>
        <w:t xml:space="preserve">will deliver the following tangible outputs:</w:t>
      </w:r>
    </w:p>
    <w:p>
      <w:pPr>
        <w:numPr>
          <w:ilvl w:val="0"/>
          <w:numId w:val="1002"/>
        </w:numPr>
        <w:pStyle w:val="Compact"/>
      </w:pPr>
      <w:r>
        <w:t xml:space="preserve">A comprehensive Data Architecture and Strategy Document (Week 2).</w:t>
      </w:r>
    </w:p>
    <w:p>
      <w:pPr>
        <w:numPr>
          <w:ilvl w:val="0"/>
          <w:numId w:val="1002"/>
        </w:numPr>
        <w:pStyle w:val="Compact"/>
      </w:pPr>
      <w:r>
        <w:t xml:space="preserve">At least three (3) fully documented and tested machine learning models with performance benchmarks (Weeks 6–10).</w:t>
      </w:r>
    </w:p>
    <w:p>
      <w:pPr>
        <w:numPr>
          <w:ilvl w:val="0"/>
          <w:numId w:val="1002"/>
        </w:numPr>
        <w:pStyle w:val="Compact"/>
      </w:pPr>
      <w:r>
        <w:t xml:space="preserve">An interactive executive dashboard with real-time KPI tracking (Week 12).</w:t>
      </w:r>
    </w:p>
    <w:p>
      <w:pPr>
        <w:numPr>
          <w:ilvl w:val="0"/>
          <w:numId w:val="1002"/>
        </w:numPr>
        <w:pStyle w:val="Compact"/>
      </w:pPr>
      <w:r>
        <w:t xml:space="preserve">A final Technical Report summarizing all findings, model performance metrics, and recommendations for future data science initiatives (Week 14).</w:t>
      </w:r>
    </w:p>
    <w:p>
      <w:pPr>
        <w:numPr>
          <w:ilvl w:val="0"/>
          <w:numId w:val="1002"/>
        </w:numPr>
        <w:pStyle w:val="Compact"/>
      </w:pPr>
      <w:r>
        <w:t xml:space="preserve">A complete Knowledge Transfer Package including code repositories, Jupyter notebooks, and recorded training sessions.</w:t>
      </w:r>
    </w:p>
    <w:bookmarkEnd w:id="23"/>
    <w:bookmarkStart w:id="24" w:name="project-timeline"/>
    <w:p>
      <w:pPr>
        <w:pStyle w:val="Heading2"/>
      </w:pPr>
      <w:r>
        <w:t xml:space="preserve">4. Project Timeline</w:t>
      </w:r>
    </w:p>
    <w:p>
      <w:pPr>
        <w:pStyle w:val="FirstParagraph"/>
      </w:pPr>
      <w:r>
        <w:t xml:space="preserve">The total engagement duration is estimated at</w:t>
      </w:r>
      <w:r>
        <w:t xml:space="preserve"> </w:t>
      </w:r>
      <w:r>
        <w:rPr>
          <w:bCs/>
          <w:b/>
        </w:rPr>
        <w:t xml:space="preserve">14 weeks</w:t>
      </w:r>
      <w:r>
        <w:t xml:space="preserve">, commencing within ten (10) business days of the formal acceptance of this</w:t>
      </w:r>
      <w:r>
        <w:t xml:space="preserve"> </w:t>
      </w:r>
      <w:r>
        <w:t xml:space="preserve">Quotation Estimate</w:t>
      </w:r>
      <w:r>
        <w:t xml:space="preserve">. The</w:t>
      </w:r>
    </w:p>
    <w:p>
      <w:pPr>
        <w:pStyle w:val="BodyText"/>
      </w:pPr>
      <w:r>
        <w:t xml:space="preserve">Data Scientist will work a standard 40-hour week, Monday through Friday, with the option for up to 8 hours of weekend availability during critical deployment phases. All on-site work will be conducted from the client's premises in</w:t>
      </w:r>
      <w:r>
        <w:t xml:space="preserve"> </w:t>
      </w:r>
      <w:r>
        <w:t xml:space="preserve">Colombia, Medellín</w:t>
      </w:r>
      <w:r>
        <w:t xml:space="preserve">, with the possibility of hybrid remote work for non-critical tasks.</w:t>
      </w:r>
    </w:p>
    <w:bookmarkEnd w:id="24"/>
    <w:bookmarkStart w:id="25" w:name="investment-pricing"/>
    <w:p>
      <w:pPr>
        <w:pStyle w:val="Heading2"/>
      </w:pPr>
      <w:r>
        <w:t xml:space="preserve">5. Investment &amp; Pricing</w:t>
      </w:r>
    </w:p>
    <w:p>
      <w:pPr>
        <w:pStyle w:val="FirstParagraph"/>
      </w:pPr>
      <w:r>
        <w:t xml:space="preserve">The following</w:t>
      </w:r>
      <w:r>
        <w:t xml:space="preserve"> </w:t>
      </w:r>
      <w:r>
        <w:t xml:space="preserve">Quotation Estimate</w:t>
      </w:r>
      <w:r>
        <w:t xml:space="preserve"> </w:t>
      </w:r>
      <w:r>
        <w:t xml:space="preserve">reflects competitive market rates for a senior</w:t>
      </w:r>
      <w:r>
        <w:t xml:space="preserve"> </w:t>
      </w:r>
      <w:r>
        <w:t xml:space="preserve">Data Scientist</w:t>
      </w:r>
      <w:r>
        <w:t xml:space="preserve"> </w:t>
      </w:r>
      <w:r>
        <w:t xml:space="preserve">in the</w:t>
      </w:r>
      <w:r>
        <w:t xml:space="preserve"> </w:t>
      </w:r>
      <w:r>
        <w:t xml:space="preserve">Colombia, Medellín</w:t>
      </w:r>
      <w:r>
        <w:t xml:space="preserve"> </w:t>
      </w:r>
      <w:r>
        <w:t xml:space="preserve">region. Pricing is structured to provide transparency and flexibility: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Senior Data Scientist — Full-time engagement</w:t>
            </w:r>
          </w:p>
        </w:tc>
        <w:tc>
          <w:tcPr/>
          <w:p>
            <w:pPr>
              <w:pStyle w:val="Compact"/>
              <w:jc w:val="left"/>
            </w:pPr>
            <w:r>
              <w:t xml:space="preserve">14 weeks</w:t>
            </w:r>
          </w:p>
        </w:tc>
        <w:tc>
          <w:tcPr/>
          <w:p>
            <w:pPr>
              <w:pStyle w:val="Compact"/>
              <w:jc w:val="left"/>
            </w:pPr>
            <w:r>
              <w:t xml:space="preserve">$4,200,000 / week</w:t>
            </w:r>
          </w:p>
        </w:tc>
        <w:tc>
          <w:tcPr/>
          <w:p>
            <w:pPr>
              <w:pStyle w:val="Compact"/>
              <w:jc w:val="left"/>
            </w:pPr>
            <w:r>
              <w:t xml:space="preserve">$58,800,000</w:t>
            </w:r>
          </w:p>
        </w:tc>
      </w:tr>
      <w:tr>
        <w:tc>
          <w:tcPr/>
          <w:p>
            <w:pPr>
              <w:pStyle w:val="Compact"/>
              <w:jc w:val="left"/>
            </w:pPr>
            <w:r>
              <w:t xml:space="preserve">2</w:t>
            </w:r>
          </w:p>
        </w:tc>
        <w:tc>
          <w:tcPr/>
          <w:p>
            <w:pPr>
              <w:pStyle w:val="Compact"/>
              <w:jc w:val="left"/>
            </w:pPr>
            <w:r>
              <w:t xml:space="preserve">Cloud Infrastructure &amp; Compute Resources (AWS/GCP)</w:t>
            </w:r>
          </w:p>
        </w:tc>
        <w:tc>
          <w:tcPr/>
          <w:p>
            <w:pPr>
              <w:pStyle w:val="Compact"/>
              <w:jc w:val="left"/>
            </w:pPr>
            <w:r>
              <w:t xml:space="preserve">14 weeks</w:t>
            </w:r>
          </w:p>
        </w:tc>
        <w:tc>
          <w:tcPr/>
          <w:p>
            <w:pPr>
              <w:pStyle w:val="Compact"/>
              <w:jc w:val="left"/>
            </w:pPr>
            <w:r>
              <w:t xml:space="preserve">$1,800,000 / week</w:t>
            </w:r>
          </w:p>
        </w:tc>
        <w:tc>
          <w:tcPr/>
          <w:p>
            <w:pPr>
              <w:pStyle w:val="Compact"/>
              <w:jc w:val="left"/>
            </w:pPr>
            <w:r>
              <w:t xml:space="preserve">$25,200,000</w:t>
            </w:r>
          </w:p>
        </w:tc>
      </w:tr>
      <w:tr>
        <w:tc>
          <w:tcPr/>
          <w:p>
            <w:pPr>
              <w:pStyle w:val="Compact"/>
              <w:jc w:val="left"/>
            </w:pPr>
            <w:r>
              <w:t xml:space="preserve">3</w:t>
            </w:r>
          </w:p>
        </w:tc>
        <w:tc>
          <w:tcPr/>
          <w:p>
            <w:pPr>
              <w:pStyle w:val="Compact"/>
              <w:jc w:val="left"/>
            </w:pPr>
            <w:r>
              <w:t xml:space="preserve">Software Licenses &amp; Tooling (Tableau, specialized ML libraries)</w:t>
            </w:r>
          </w:p>
        </w:tc>
        <w:tc>
          <w:tcPr/>
          <w:p>
            <w:pPr>
              <w:pStyle w:val="Compact"/>
              <w:jc w:val="left"/>
            </w:pPr>
            <w:r>
              <w:t xml:space="preserve">14 weeks</w:t>
            </w:r>
          </w:p>
        </w:tc>
        <w:tc>
          <w:tcPr/>
          <w:p>
            <w:pPr>
              <w:pStyle w:val="Compact"/>
              <w:jc w:val="left"/>
            </w:pPr>
            <w:r>
              <w:t xml:space="preserve">$650,000 / week</w:t>
            </w:r>
          </w:p>
        </w:tc>
        <w:tc>
          <w:tcPr/>
          <w:p>
            <w:pPr>
              <w:pStyle w:val="Compact"/>
              <w:jc w:val="left"/>
            </w:pPr>
            <w:r>
              <w:t xml:space="preserve">$9,100,000</w:t>
            </w:r>
          </w:p>
        </w:tc>
      </w:tr>
      <w:tr>
        <w:tc>
          <w:tcPr/>
          <w:p>
            <w:pPr>
              <w:pStyle w:val="Compact"/>
              <w:jc w:val="left"/>
            </w:pPr>
            <w:r>
              <w:t xml:space="preserve">4</w:t>
            </w:r>
          </w:p>
        </w:tc>
        <w:tc>
          <w:tcPr/>
          <w:p>
            <w:pPr>
              <w:pStyle w:val="Compact"/>
              <w:jc w:val="left"/>
            </w:pPr>
            <w:r>
              <w:t xml:space="preserve">Project Management &amp; Coordination (15% allocation)</w:t>
            </w:r>
          </w:p>
        </w:tc>
        <w:tc>
          <w:tcPr/>
          <w:p>
            <w:pPr>
              <w:pStyle w:val="Compact"/>
              <w:jc w:val="left"/>
            </w:pPr>
            <w:r>
              <w:t xml:space="preserve">14 weeks</w:t>
            </w:r>
          </w:p>
        </w:tc>
        <w:tc>
          <w:tcPr/>
          <w:p>
            <w:pPr>
              <w:pStyle w:val="Compact"/>
              <w:jc w:val="left"/>
            </w:pPr>
            <w:r>
              <w:t xml:space="preserve">—</w:t>
            </w:r>
          </w:p>
        </w:tc>
        <w:tc>
          <w:tcPr/>
          <w:p>
            <w:pPr>
              <w:pStyle w:val="Compact"/>
              <w:jc w:val="left"/>
            </w:pPr>
            <w:r>
              <w:t xml:space="preserve">$11,760,000</w:t>
            </w:r>
          </w:p>
        </w:tc>
      </w:tr>
      <w:tr>
        <w:tc>
          <w:tcPr/>
          <w:p>
            <w:pPr>
              <w:pStyle w:val="Compact"/>
              <w:jc w:val="left"/>
            </w:pPr>
            <w:r>
              <w:t xml:space="preserve">5</w:t>
            </w:r>
          </w:p>
        </w:tc>
        <w:tc>
          <w:tcPr/>
          <w:p>
            <w:pPr>
              <w:pStyle w:val="Compact"/>
              <w:jc w:val="left"/>
            </w:pPr>
            <w:r>
              <w:t xml:space="preserve">Travel &amp; Local Transportation within Medellín</w:t>
            </w:r>
          </w:p>
        </w:tc>
        <w:tc>
          <w:tcPr/>
          <w:p>
            <w:pPr>
              <w:pStyle w:val="Compact"/>
              <w:jc w:val="left"/>
            </w:pPr>
            <w:r>
              <w:t xml:space="preserve">14 weeks</w:t>
            </w:r>
          </w:p>
        </w:tc>
        <w:tc>
          <w:tcPr/>
          <w:p>
            <w:pPr>
              <w:pStyle w:val="Compact"/>
              <w:jc w:val="left"/>
            </w:pPr>
            <w:r>
              <w:t xml:space="preserve">$350,000 / week</w:t>
            </w:r>
          </w:p>
        </w:tc>
        <w:tc>
          <w:tcPr/>
          <w:p>
            <w:pPr>
              <w:pStyle w:val="Compact"/>
              <w:jc w:val="left"/>
            </w:pPr>
            <w:r>
              <w:t xml:space="preserve">$4,900,000</w:t>
            </w:r>
          </w:p>
        </w:tc>
      </w:tr>
      <w:tr>
        <w:tc>
          <w:tcPr/>
          <w:p>
            <w:pPr>
              <w:pStyle w:val="Compact"/>
              <w:jc w:val="left"/>
            </w:pPr>
            <w:r>
              <w:t xml:space="preserve">6</w:t>
            </w:r>
          </w:p>
        </w:tc>
        <w:tc>
          <w:tcPr/>
          <w:p>
            <w:pPr>
              <w:pStyle w:val="Compact"/>
              <w:jc w:val="left"/>
            </w:pPr>
            <w:r>
              <w:t xml:space="preserve">Contingency &amp; Risk Buffer (5%)</w:t>
            </w:r>
          </w:p>
        </w:tc>
        <w:tc>
          <w:tcPr/>
          <w:p>
            <w:pPr>
              <w:pStyle w:val="Compact"/>
              <w:jc w:val="left"/>
            </w:pPr>
            <w:r>
              <w:t xml:space="preserve">—</w:t>
            </w:r>
          </w:p>
        </w:tc>
        <w:tc>
          <w:tcPr/>
          <w:p>
            <w:pPr>
              <w:pStyle w:val="Compact"/>
              <w:jc w:val="left"/>
            </w:pPr>
            <w:r>
              <w:t xml:space="preserve">—</w:t>
            </w:r>
          </w:p>
        </w:tc>
        <w:tc>
          <w:tcPr/>
          <w:p>
            <w:pPr>
              <w:pStyle w:val="Compact"/>
              <w:jc w:val="left"/>
            </w:pPr>
            <w:r>
              <w:t xml:space="preserve">$4,488,000</w:t>
            </w:r>
          </w:p>
        </w:tc>
      </w:tr>
      <w:tr>
        <w:tc>
          <w:tcPr>
            <w:gridSpan w:val="4"/>
          </w:tcPr>
          <w:p>
            <w:pPr>
              <w:pStyle w:val="Compact"/>
              <w:jc w:val="left"/>
            </w:pPr>
            <w:r>
              <w:t xml:space="preserve">TOTAL ESTIMATED INVESTMENT (COP)</w:t>
            </w:r>
          </w:p>
        </w:tc>
        <w:tc>
          <w:tcPr/>
          <w:p>
            <w:pPr>
              <w:pStyle w:val="Compact"/>
              <w:jc w:val="left"/>
            </w:pPr>
            <w:r>
              <w:t xml:space="preserve">$114,248,000</w:t>
            </w:r>
          </w:p>
        </w:tc>
      </w:tr>
      <w:tr>
        <w:tc>
          <w:tcPr>
            <w:gridSpan w:val="4"/>
          </w:tcPr>
          <w:p>
            <w:pPr>
              <w:pStyle w:val="Compact"/>
              <w:jc w:val="left"/>
            </w:pPr>
            <w:r>
              <w:t xml:space="preserve">TOTAL ESTIMATED INVESTMENT (USD, approx. at 3,900 COP/USD)</w:t>
            </w:r>
          </w:p>
        </w:tc>
        <w:tc>
          <w:tcPr/>
          <w:p>
            <w:pPr>
              <w:pStyle w:val="Compact"/>
              <w:jc w:val="left"/>
            </w:pPr>
            <w:r>
              <w:t xml:space="preserve">$29,294.36</w:t>
            </w:r>
          </w:p>
        </w:tc>
      </w:tr>
    </w:tbl>
    <w:p>
      <w:pPr>
        <w:pStyle w:val="BodyText"/>
      </w:pPr>
      <w:r>
        <w:rPr>
          <w:bCs/>
          <w:b/>
        </w:rPr>
        <w:t xml:space="preserve">Note:</w:t>
      </w:r>
      <w:r>
        <w:t xml:space="preserve"> </w:t>
      </w:r>
      <w:r>
        <w:t xml:space="preserve">All prices are quoted in Colombian Pesos (COP) and are subject to the applicable Value Added Tax (IVA) of 19% as per Colombian tax regulations. The USD equivalent is provided for reference only and is based on the exchange rate as of the date of this Quotation Estimate. Final USD amounts will be recalculated at the time of invoicing.</w:t>
      </w:r>
    </w:p>
    <w:bookmarkEnd w:id="25"/>
    <w:bookmarkStart w:id="26" w:name="payment-terms"/>
    <w:p>
      <w:pPr>
        <w:pStyle w:val="Heading2"/>
      </w:pPr>
      <w:r>
        <w:t xml:space="preserve">6. Payment Terms</w:t>
      </w:r>
    </w:p>
    <w:p>
      <w:pPr>
        <w:pStyle w:val="FirstParagraph"/>
      </w:pPr>
      <w:r>
        <w:t xml:space="preserve">Payment for the services outlined in this</w:t>
      </w:r>
      <w:r>
        <w:t xml:space="preserve"> </w:t>
      </w:r>
      <w:r>
        <w:t xml:space="preserve">Quotation Estimate</w:t>
      </w:r>
      <w:r>
        <w:t xml:space="preserve"> </w:t>
      </w:r>
      <w:r>
        <w:t xml:space="preserve">shall be structured as follows:</w:t>
      </w:r>
    </w:p>
    <w:p>
      <w:pPr>
        <w:numPr>
          <w:ilvl w:val="0"/>
          <w:numId w:val="1003"/>
        </w:numPr>
        <w:pStyle w:val="Compact"/>
      </w:pPr>
      <w:r>
        <w:rPr>
          <w:bCs/>
          <w:b/>
        </w:rPr>
        <w:t xml:space="preserve">30% Advance Payment:</w:t>
      </w:r>
      <w:r>
        <w:t xml:space="preserve"> </w:t>
      </w:r>
      <w:r>
        <w:t xml:space="preserve">Due upon signed acceptance of this document and prior to the commencement of work.</w:t>
      </w:r>
    </w:p>
    <w:p>
      <w:pPr>
        <w:numPr>
          <w:ilvl w:val="0"/>
          <w:numId w:val="1003"/>
        </w:numPr>
        <w:pStyle w:val="Compact"/>
      </w:pPr>
      <w:r>
        <w:rPr>
          <w:bCs/>
          <w:b/>
        </w:rPr>
        <w:t xml:space="preserve">40% Milestone Payment:</w:t>
      </w:r>
      <w:r>
        <w:t xml:space="preserve"> </w:t>
      </w:r>
      <w:r>
        <w:t xml:space="preserve">Due upon delivery and client approval of the machine learning models (End of Week 10).</w:t>
      </w:r>
    </w:p>
    <w:p>
      <w:pPr>
        <w:numPr>
          <w:ilvl w:val="0"/>
          <w:numId w:val="1003"/>
        </w:numPr>
        <w:pStyle w:val="Compact"/>
      </w:pPr>
      <w:r>
        <w:rPr>
          <w:bCs/>
          <w:b/>
        </w:rPr>
        <w:t xml:space="preserve">30% Final Payment:</w:t>
      </w:r>
      <w:r>
        <w:t xml:space="preserve"> </w:t>
      </w:r>
      <w:r>
        <w:t xml:space="preserve">Due upon delivery of the final Technical Report and completion of all Knowledge Transfer sessions (End of Week 14).</w:t>
      </w:r>
    </w:p>
    <w:p>
      <w:pPr>
        <w:pStyle w:val="FirstParagraph"/>
      </w:pPr>
      <w:r>
        <w:t xml:space="preserve">All payments shall be made via bank transfer to the account designated by the service provider. Invoices will be issued in accordance with Colombian tax law (DIAN regulations) and will include the applicable NIT, IVA, and withholding tax (retención en la fuente) documentation.</w:t>
      </w:r>
    </w:p>
    <w:bookmarkEnd w:id="26"/>
    <w:bookmarkStart w:id="27" w:name="terms-conditions"/>
    <w:p>
      <w:pPr>
        <w:pStyle w:val="Heading2"/>
      </w:pPr>
      <w:r>
        <w:t xml:space="preserve">7. Terms &amp; Conditions</w:t>
      </w:r>
    </w:p>
    <w:p>
      <w:pPr>
        <w:numPr>
          <w:ilvl w:val="0"/>
          <w:numId w:val="1004"/>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market conditions in</w:t>
      </w:r>
      <w:r>
        <w:t xml:space="preserve"> </w:t>
      </w:r>
      <w:r>
        <w:t xml:space="preserve">Colombia, Medellín</w:t>
      </w:r>
      <w:r>
        <w:t xml:space="preserve">.</w:t>
      </w:r>
    </w:p>
    <w:p>
      <w:pPr>
        <w:numPr>
          <w:ilvl w:val="0"/>
          <w:numId w:val="1004"/>
        </w:numPr>
        <w:pStyle w:val="Compact"/>
      </w:pPr>
      <w:r>
        <w:t xml:space="preserve">The</w:t>
      </w:r>
      <w:r>
        <w:t xml:space="preserve"> </w:t>
      </w:r>
      <w:r>
        <w:t xml:space="preserve">Data Scientist</w:t>
      </w:r>
      <w:r>
        <w:t xml:space="preserve"> </w:t>
      </w:r>
      <w:r>
        <w:t xml:space="preserve">is engaged as an independent contractor and not as an employee of the client organization. All social security contributions (Pensión, Salud, ARL) are the responsibility of the service provider in compliance with Colombian labor law.</w:t>
      </w:r>
    </w:p>
    <w:p>
      <w:pPr>
        <w:numPr>
          <w:ilvl w:val="0"/>
          <w:numId w:val="1004"/>
        </w:numPr>
        <w:pStyle w:val="Compact"/>
      </w:pPr>
      <w:r>
        <w:t xml:space="preserve">All intellectual property, code, models, and documentation produced during the engagement shall become the exclusive property of the client upon full payment.</w:t>
      </w:r>
    </w:p>
    <w:p>
      <w:pPr>
        <w:numPr>
          <w:ilvl w:val="0"/>
          <w:numId w:val="1004"/>
        </w:numPr>
        <w:pStyle w:val="Compact"/>
      </w:pPr>
      <w:r>
        <w:t xml:space="preserve">Confidentiality and data protection obligations shall be governed by a separate Non-Disclosure Agreement (NDA) and shall comply with Colombia's General Data Protection Law (Ley 1581 de 2012).</w:t>
      </w:r>
    </w:p>
    <w:p>
      <w:pPr>
        <w:numPr>
          <w:ilvl w:val="0"/>
          <w:numId w:val="1004"/>
        </w:numPr>
        <w:pStyle w:val="Compact"/>
      </w:pPr>
      <w:r>
        <w:t xml:space="preserve">Either party may terminate the engagement with a written notice of fifteen (15) business days. In such cases, payment shall be made pro-rata for work completed up to the termination date.</w:t>
      </w:r>
    </w:p>
    <w:p>
      <w:pPr>
        <w:numPr>
          <w:ilvl w:val="0"/>
          <w:numId w:val="1004"/>
        </w:numPr>
        <w:pStyle w:val="Compact"/>
      </w:pPr>
      <w:r>
        <w:t xml:space="preserve">This Quotation Estimate does not constitute a binding contract until both parties have executed a formal Service Agreement incorporating the terms herein.</w:t>
      </w:r>
    </w:p>
    <w:bookmarkEnd w:id="27"/>
    <w:bookmarkStart w:id="28" w:name="acceptance"/>
    <w:p>
      <w:pPr>
        <w:pStyle w:val="Heading2"/>
      </w:pPr>
      <w:r>
        <w:t xml:space="preserve">8. Acceptance</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Data Scientist</w:t>
      </w:r>
      <w:r>
        <w:t xml:space="preserve"> </w:t>
      </w:r>
      <w:r>
        <w:t xml:space="preserve">services in</w:t>
      </w:r>
      <w:r>
        <w:t xml:space="preserve"> </w:t>
      </w:r>
      <w:r>
        <w:t xml:space="preserve">Colombia, Medellín</w:t>
      </w:r>
      <w:r>
        <w:t xml:space="preserve"> </w:t>
      </w:r>
      <w:r>
        <w:t xml:space="preserve">and agrees to the terms, conditions, and pricing outlined in this document. This acceptance authorizes the service provider to proceed with resource allocation and project planning.</w:t>
      </w:r>
    </w:p>
    <w:p>
      <w:pPr>
        <w:pStyle w:val="BodyText"/>
      </w:pPr>
      <w:r>
        <w:rPr>
          <w:bCs/>
          <w:b/>
        </w:rPr>
        <w:t xml:space="preserve">For the Service Provider</w:t>
      </w:r>
      <w:r>
        <w:br/>
      </w:r>
      <w:r>
        <w:t xml:space="preserve">Andrés R. Villamizar</w:t>
      </w:r>
      <w:r>
        <w:br/>
      </w:r>
      <w:r>
        <w:t xml:space="preserve">Lead Consultant, Data Science Division</w:t>
      </w:r>
      <w:r>
        <w:br/>
      </w:r>
      <w:r>
        <w:t xml:space="preserve">Date: ______________________</w:t>
      </w:r>
    </w:p>
    <w:p>
      <w:pPr>
        <w:pStyle w:val="BodyText"/>
      </w:pPr>
      <w:r>
        <w:rPr>
          <w:bCs/>
          <w:b/>
        </w:rPr>
        <w:t xml:space="preserve">For the Client</w:t>
      </w:r>
      <w:r>
        <w:br/>
      </w:r>
      <w:r>
        <w:t xml:space="preserve">Name: ______________________</w:t>
      </w:r>
      <w:r>
        <w:br/>
      </w:r>
      <w:r>
        <w:t xml:space="preserve">Title: ______________________</w:t>
      </w:r>
      <w:r>
        <w:br/>
      </w:r>
      <w:r>
        <w:t xml:space="preserve">Date: ______________________</w:t>
      </w:r>
    </w:p>
    <w:p>
      <w:pPr>
        <w:pStyle w:val="BodyText"/>
      </w:pPr>
      <w:r>
        <w:t xml:space="preserve">Quotation Estimate QE-DS-MDE-2025-0047 — Data Scientist Services — Colombia, Medellín</w:t>
      </w:r>
      <w:r>
        <w:br/>
      </w:r>
      <w:r>
        <w:t xml:space="preserve">This document is confidential and intended solely for the named recipient. Unauthorized reproduction or distribution is prohibited.</w:t>
      </w:r>
      <w:r>
        <w:br/>
      </w:r>
      <w:r>
        <w:t xml:space="preserve">© 2025.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Colombia Medellín</dc:title>
  <dc:creator/>
  <dc:language>en</dc:language>
  <cp:keywords/>
  <dcterms:created xsi:type="dcterms:W3CDTF">2026-10-10T02:57:32Z</dcterms:created>
  <dcterms:modified xsi:type="dcterms:W3CDTF">2026-10-10T02:57:32Z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