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Data</w:t>
      </w:r>
      <w:r>
        <w:t xml:space="preserve"> </w:t>
      </w:r>
      <w:r>
        <w:t xml:space="preserve">Scientist</w:t>
      </w:r>
      <w:r>
        <w:t xml:space="preserve"> </w:t>
      </w:r>
      <w:r>
        <w:t xml:space="preserve">Services</w:t>
      </w:r>
      <w:r>
        <w:t xml:space="preserve"> </w:t>
      </w:r>
      <w:r>
        <w:t xml:space="preserve">-</w:t>
      </w:r>
      <w:r>
        <w:t xml:space="preserve"> </w:t>
      </w:r>
      <w:r>
        <w:t xml:space="preserve">Egypt</w:t>
      </w:r>
      <w:r>
        <w:t xml:space="preserve"> </w:t>
      </w:r>
      <w:r>
        <w:t xml:space="preserve">Alexandria</w:t>
      </w:r>
    </w:p>
    <w:bookmarkStart w:id="20" w:name="quotation-estimate"/>
    <w:p>
      <w:pPr>
        <w:pStyle w:val="Heading1"/>
      </w:pPr>
      <w:r>
        <w:t xml:space="preserve">QUOTATION ESTIMATE</w:t>
      </w:r>
    </w:p>
    <w:p>
      <w:pPr>
        <w:pStyle w:val="FirstParagraph"/>
      </w:pPr>
      <w:r>
        <w:t xml:space="preserve">Professional Data Scientist Services — Egypt Alexandria</w:t>
      </w:r>
    </w:p>
    <w:p>
      <w:pPr>
        <w:pStyle w:val="BodyText"/>
      </w:pPr>
      <w:r>
        <w:t xml:space="preserve">Document Reference: QTE-EGY-ALX-2025-0047</w:t>
      </w:r>
    </w:p>
    <w:bookmarkEnd w:id="20"/>
    <w:p>
      <w:pPr>
        <w:pStyle w:val="BodyText"/>
      </w:pPr>
      <w:r>
        <w:rPr>
          <w:bCs/>
          <w:b/>
        </w:rPr>
        <w:t xml:space="preserve">Prepared For:</w:t>
      </w:r>
      <w:r>
        <w:br/>
      </w:r>
      <w:r>
        <w:t xml:space="preserve">Client Name / Organization</w:t>
      </w:r>
      <w:r>
        <w:br/>
      </w:r>
      <w:r>
        <w:t xml:space="preserve">Alexandria, Egypt</w:t>
      </w:r>
    </w:p>
    <w:p>
      <w:pPr>
        <w:pStyle w:val="BodyText"/>
      </w:pPr>
      <w:r>
        <w:rPr>
          <w:bCs/>
          <w:b/>
        </w:rPr>
        <w:t xml:space="preserve">Prepared By:</w:t>
      </w:r>
      <w:r>
        <w:br/>
      </w:r>
      <w:r>
        <w:t xml:space="preserve">Data Solutions Consulting Ltd.</w:t>
      </w:r>
      <w:r>
        <w:br/>
      </w:r>
      <w:r>
        <w:t xml:space="preserve">12 Corniche El-Nil St., Alexandria, Egypt</w:t>
      </w:r>
    </w:p>
    <w:p>
      <w:pPr>
        <w:pStyle w:val="BodyText"/>
      </w:pPr>
      <w:r>
        <w:rPr>
          <w:bCs/>
          <w:b/>
        </w:rPr>
        <w:t xml:space="preserve">Date of Issue:</w:t>
      </w:r>
      <w:r>
        <w:br/>
      </w:r>
      <w:r>
        <w:t xml:space="preserve">15 June 2025</w:t>
      </w:r>
      <w:r>
        <w:br/>
      </w:r>
      <w:r>
        <w:rPr>
          <w:bCs/>
          <w:b/>
        </w:rPr>
        <w:t xml:space="preserve">Valid Until:</w:t>
      </w:r>
      <w:r>
        <w:t xml:space="preserve"> </w:t>
      </w:r>
      <w:r>
        <w:t xml:space="preserve">15 July 2025</w:t>
      </w:r>
    </w:p>
    <w:bookmarkStart w:id="21" w:name="X091f0dfb82768bdcc14fb07ea5eabec314d991f"/>
    <w:p>
      <w:pPr>
        <w:pStyle w:val="Heading2"/>
      </w:pPr>
      <w:r>
        <w:t xml:space="preserve">1. Introduction and Purpose of This Quotation Estimate</w:t>
      </w:r>
    </w:p>
    <w:p>
      <w:pPr>
        <w:pStyle w:val="FirstParagraph"/>
      </w:pPr>
      <w:r>
        <w:t xml:space="preserve">This Quotation Estimate is issued by Data Solutions Consulting Ltd. to provide a comprehensive and transparent financial proposal for the engagement of a senior Data Scientist to support the client's analytics and machine learning initiatives in Egypt Alexandria. This document outlines the full scope of services, deliverables, timelines, and associated costs for the Data Scientist role, ensuring that all parties in Egypt Alexandria have a clear understanding of the professional commitment and financial obligations involved.</w:t>
      </w:r>
    </w:p>
    <w:p>
      <w:pPr>
        <w:pStyle w:val="BodyText"/>
      </w:pPr>
      <w:r>
        <w:t xml:space="preserve">The Data Scientist engagement described in this Quotation Estimate is tailored specifically to the operational and economic landscape of Egypt Alexandria, taking into account local data infrastructure, regulatory requirements under Egyptian data protection law, and the unique industry demands of the Alexandria metropolitan area, including its prominent ports, tourism sector, manufacturing industries, and growing technology ecosystem.</w:t>
      </w:r>
    </w:p>
    <w:bookmarkEnd w:id="21"/>
    <w:bookmarkStart w:id="22" w:name="scope-of-services-data-scientist-role"/>
    <w:p>
      <w:pPr>
        <w:pStyle w:val="Heading2"/>
      </w:pPr>
      <w:r>
        <w:t xml:space="preserve">2. Scope of Services — Data Scientist Role</w:t>
      </w:r>
    </w:p>
    <w:p>
      <w:pPr>
        <w:pStyle w:val="FirstParagraph"/>
      </w:pPr>
      <w:r>
        <w:t xml:space="preserve">The Data Scientist engaged under this Quotation Estimate will be responsible for the following core activities within the Egypt Alexandria operational environment:</w:t>
      </w:r>
    </w:p>
    <w:p>
      <w:pPr>
        <w:numPr>
          <w:ilvl w:val="0"/>
          <w:numId w:val="1001"/>
        </w:numPr>
        <w:pStyle w:val="Compact"/>
      </w:pPr>
      <w:r>
        <w:rPr>
          <w:bCs/>
          <w:b/>
        </w:rPr>
        <w:t xml:space="preserve">Data Acquisition and Integration:</w:t>
      </w:r>
      <w:r>
        <w:t xml:space="preserve"> </w:t>
      </w:r>
      <w:r>
        <w:t xml:space="preserve">Designing and implementing pipelines to collect, clean, and integrate structured and unstructured data from multiple sources relevant to the client's operations in Egypt Alexandria, including local databases, IoT sensors, and third-party APIs.</w:t>
      </w:r>
    </w:p>
    <w:p>
      <w:pPr>
        <w:numPr>
          <w:ilvl w:val="0"/>
          <w:numId w:val="1001"/>
        </w:numPr>
        <w:pStyle w:val="Compact"/>
      </w:pPr>
      <w:r>
        <w:rPr>
          <w:bCs/>
          <w:b/>
        </w:rPr>
        <w:t xml:space="preserve">Exploratory Data Analysis (EDA):</w:t>
      </w:r>
      <w:r>
        <w:t xml:space="preserve"> </w:t>
      </w:r>
      <w:r>
        <w:t xml:space="preserve">Conducting in-depth statistical analysis to identify patterns, trends, and anomalies in the client's datasets, providing actionable insights specific to the Egypt Alexandria market context.</w:t>
      </w:r>
    </w:p>
    <w:p>
      <w:pPr>
        <w:numPr>
          <w:ilvl w:val="0"/>
          <w:numId w:val="1001"/>
        </w:numPr>
        <w:pStyle w:val="Compact"/>
      </w:pPr>
      <w:r>
        <w:rPr>
          <w:bCs/>
          <w:b/>
        </w:rPr>
        <w:t xml:space="preserve">Machine Learning Model Development:</w:t>
      </w:r>
      <w:r>
        <w:t xml:space="preserve"> </w:t>
      </w:r>
      <w:r>
        <w:t xml:space="preserve">Building, training, and validating predictive and prescriptive machine learning models using Python, R, TensorFlow, and scikit-learn, optimized for the client's business objectives.</w:t>
      </w:r>
    </w:p>
    <w:p>
      <w:pPr>
        <w:numPr>
          <w:ilvl w:val="0"/>
          <w:numId w:val="1001"/>
        </w:numPr>
        <w:pStyle w:val="Compact"/>
      </w:pPr>
      <w:r>
        <w:rPr>
          <w:bCs/>
          <w:b/>
        </w:rPr>
        <w:t xml:space="preserve">Natural Language Processing (NLP):</w:t>
      </w:r>
      <w:r>
        <w:t xml:space="preserve"> </w:t>
      </w:r>
      <w:r>
        <w:t xml:space="preserve">Developing NLP solutions capable of processing both English and Arabic text, which is essential for any Data Scientist operating in Egypt Alexandria where bilingual data is prevalent.</w:t>
      </w:r>
    </w:p>
    <w:p>
      <w:pPr>
        <w:numPr>
          <w:ilvl w:val="0"/>
          <w:numId w:val="1001"/>
        </w:numPr>
        <w:pStyle w:val="Compact"/>
      </w:pPr>
      <w:r>
        <w:rPr>
          <w:bCs/>
          <w:b/>
        </w:rPr>
        <w:t xml:space="preserve">Dashboard and Reporting:</w:t>
      </w:r>
      <w:r>
        <w:t xml:space="preserve"> </w:t>
      </w:r>
      <w:r>
        <w:t xml:space="preserve">Creating interactive data visualization dashboards using tools such as Power BI, Tableau, or custom Python-based solutions to present findings to stakeholders in Egypt Alexandria.</w:t>
      </w:r>
    </w:p>
    <w:p>
      <w:pPr>
        <w:numPr>
          <w:ilvl w:val="0"/>
          <w:numId w:val="1001"/>
        </w:numPr>
        <w:pStyle w:val="Compact"/>
      </w:pPr>
      <w:r>
        <w:rPr>
          <w:bCs/>
          <w:b/>
        </w:rPr>
        <w:t xml:space="preserve">Model Deployment and Monitoring:</w:t>
      </w:r>
      <w:r>
        <w:t xml:space="preserve"> </w:t>
      </w:r>
      <w:r>
        <w:t xml:space="preserve">Deploying trained models into production environments and establishing monitoring frameworks to ensure ongoing performance and accuracy.</w:t>
      </w:r>
    </w:p>
    <w:p>
      <w:pPr>
        <w:numPr>
          <w:ilvl w:val="0"/>
          <w:numId w:val="1001"/>
        </w:numPr>
        <w:pStyle w:val="Compact"/>
      </w:pPr>
      <w:r>
        <w:rPr>
          <w:bCs/>
          <w:b/>
        </w:rPr>
        <w:t xml:space="preserve">Stakeholder Communication:</w:t>
      </w:r>
      <w:r>
        <w:t xml:space="preserve"> </w:t>
      </w:r>
      <w:r>
        <w:t xml:space="preserve">Presenting technical findings and strategic recommendations to executive leadership and cross-functional teams based in Egypt Alexandria.</w:t>
      </w:r>
    </w:p>
    <w:bookmarkEnd w:id="22"/>
    <w:bookmarkStart w:id="23" w:name="deliverables-and-timeline"/>
    <w:p>
      <w:pPr>
        <w:pStyle w:val="Heading2"/>
      </w:pPr>
      <w:r>
        <w:t xml:space="preserve">3. Deliverables and Timeline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Phase</w:t>
            </w:r>
          </w:p>
        </w:tc>
        <w:tc>
          <w:tcPr/>
          <w:p>
            <w:pPr>
              <w:pStyle w:val="Compact"/>
              <w:jc w:val="left"/>
            </w:pPr>
            <w:r>
              <w:t xml:space="preserve">Deliverable</w:t>
            </w:r>
          </w:p>
        </w:tc>
        <w:tc>
          <w:tcPr/>
          <w:p>
            <w:pPr>
              <w:pStyle w:val="Compact"/>
              <w:jc w:val="left"/>
            </w:pPr>
            <w:r>
              <w:t xml:space="preserve">Duration</w:t>
            </w:r>
          </w:p>
        </w:tc>
        <w:tc>
          <w:tcPr/>
          <w:p>
            <w:pPr>
              <w:pStyle w:val="Compact"/>
              <w:jc w:val="left"/>
            </w:pPr>
            <w:r>
              <w:t xml:space="preserve">Location</w:t>
            </w:r>
          </w:p>
        </w:tc>
      </w:tr>
      <w:tr>
        <w:tc>
          <w:tcPr/>
          <w:p>
            <w:pPr>
              <w:pStyle w:val="Compact"/>
              <w:jc w:val="left"/>
            </w:pPr>
            <w:r>
              <w:t xml:space="preserve">Phase 1</w:t>
            </w:r>
          </w:p>
        </w:tc>
        <w:tc>
          <w:tcPr/>
          <w:p>
            <w:pPr>
              <w:pStyle w:val="Compact"/>
              <w:jc w:val="left"/>
            </w:pPr>
            <w:r>
              <w:t xml:space="preserve">Requirements Gathering &amp; Data Audit</w:t>
            </w:r>
          </w:p>
        </w:tc>
        <w:tc>
          <w:tcPr/>
          <w:p>
            <w:pPr>
              <w:pStyle w:val="Compact"/>
              <w:jc w:val="left"/>
            </w:pPr>
            <w:r>
              <w:t xml:space="preserve">Weeks 1–2</w:t>
            </w:r>
          </w:p>
        </w:tc>
        <w:tc>
          <w:tcPr/>
          <w:p>
            <w:pPr>
              <w:pStyle w:val="Compact"/>
              <w:jc w:val="left"/>
            </w:pPr>
            <w:r>
              <w:t xml:space="preserve">Egypt Alexandria (On-site)</w:t>
            </w:r>
          </w:p>
        </w:tc>
      </w:tr>
      <w:tr>
        <w:tc>
          <w:tcPr/>
          <w:p>
            <w:pPr>
              <w:pStyle w:val="Compact"/>
              <w:jc w:val="left"/>
            </w:pPr>
            <w:r>
              <w:t xml:space="preserve">Phase 2</w:t>
            </w:r>
          </w:p>
        </w:tc>
        <w:tc>
          <w:tcPr/>
          <w:p>
            <w:pPr>
              <w:pStyle w:val="Compact"/>
              <w:jc w:val="left"/>
            </w:pPr>
            <w:r>
              <w:t xml:space="preserve">Data Pipeline Development &amp; EDA Report</w:t>
            </w:r>
          </w:p>
        </w:tc>
        <w:tc>
          <w:tcPr/>
          <w:p>
            <w:pPr>
              <w:pStyle w:val="Compact"/>
              <w:jc w:val="left"/>
            </w:pPr>
            <w:r>
              <w:t xml:space="preserve">Weeks 3–5</w:t>
            </w:r>
          </w:p>
        </w:tc>
        <w:tc>
          <w:tcPr/>
          <w:p>
            <w:pPr>
              <w:pStyle w:val="Compact"/>
              <w:jc w:val="left"/>
            </w:pPr>
            <w:r>
              <w:t xml:space="preserve">Egypt Alexandria (Hybrid)</w:t>
            </w:r>
          </w:p>
        </w:tc>
      </w:tr>
      <w:tr>
        <w:tc>
          <w:tcPr/>
          <w:p>
            <w:pPr>
              <w:pStyle w:val="Compact"/>
              <w:jc w:val="left"/>
            </w:pPr>
            <w:r>
              <w:t xml:space="preserve">Phase 3</w:t>
            </w:r>
          </w:p>
        </w:tc>
        <w:tc>
          <w:tcPr/>
          <w:p>
            <w:pPr>
              <w:pStyle w:val="Compact"/>
              <w:jc w:val="left"/>
            </w:pPr>
            <w:r>
              <w:t xml:space="preserve">ML Model Development &amp; Validation</w:t>
            </w:r>
          </w:p>
        </w:tc>
        <w:tc>
          <w:tcPr/>
          <w:p>
            <w:pPr>
              <w:pStyle w:val="Compact"/>
              <w:jc w:val="left"/>
            </w:pPr>
            <w:r>
              <w:t xml:space="preserve">Weeks 6–10</w:t>
            </w:r>
          </w:p>
        </w:tc>
        <w:tc>
          <w:tcPr/>
          <w:p>
            <w:pPr>
              <w:pStyle w:val="Compact"/>
              <w:jc w:val="left"/>
            </w:pPr>
            <w:r>
              <w:t xml:space="preserve">Egypt Alexandria (Hybrid)</w:t>
            </w:r>
          </w:p>
        </w:tc>
      </w:tr>
      <w:tr>
        <w:tc>
          <w:tcPr/>
          <w:p>
            <w:pPr>
              <w:pStyle w:val="Compact"/>
              <w:jc w:val="left"/>
            </w:pPr>
            <w:r>
              <w:t xml:space="preserve">Phase 4</w:t>
            </w:r>
          </w:p>
        </w:tc>
        <w:tc>
          <w:tcPr/>
          <w:p>
            <w:pPr>
              <w:pStyle w:val="Compact"/>
              <w:jc w:val="left"/>
            </w:pPr>
            <w:r>
              <w:t xml:space="preserve">Dashboard Deployment &amp; User Training</w:t>
            </w:r>
          </w:p>
        </w:tc>
        <w:tc>
          <w:tcPr/>
          <w:p>
            <w:pPr>
              <w:pStyle w:val="Compact"/>
              <w:jc w:val="left"/>
            </w:pPr>
            <w:r>
              <w:t xml:space="preserve">Weeks 11–12</w:t>
            </w:r>
          </w:p>
        </w:tc>
        <w:tc>
          <w:tcPr/>
          <w:p>
            <w:pPr>
              <w:pStyle w:val="Compact"/>
              <w:jc w:val="left"/>
            </w:pPr>
            <w:r>
              <w:t xml:space="preserve">Egypt Alexandria (On-site)</w:t>
            </w:r>
          </w:p>
        </w:tc>
      </w:tr>
      <w:tr>
        <w:tc>
          <w:tcPr/>
          <w:p>
            <w:pPr>
              <w:pStyle w:val="Compact"/>
              <w:jc w:val="left"/>
            </w:pPr>
            <w:r>
              <w:t xml:space="preserve">Phase 5</w:t>
            </w:r>
          </w:p>
        </w:tc>
        <w:tc>
          <w:tcPr/>
          <w:p>
            <w:pPr>
              <w:pStyle w:val="Compact"/>
              <w:jc w:val="left"/>
            </w:pPr>
            <w:r>
              <w:t xml:space="preserve">Final Documentation &amp; Handover</w:t>
            </w:r>
          </w:p>
        </w:tc>
        <w:tc>
          <w:tcPr/>
          <w:p>
            <w:pPr>
              <w:pStyle w:val="Compact"/>
              <w:jc w:val="left"/>
            </w:pPr>
            <w:r>
              <w:t xml:space="preserve">Week 13</w:t>
            </w:r>
          </w:p>
        </w:tc>
        <w:tc>
          <w:tcPr/>
          <w:p>
            <w:pPr>
              <w:pStyle w:val="Compact"/>
              <w:jc w:val="left"/>
            </w:pPr>
            <w:r>
              <w:t xml:space="preserve">Egypt Alexandria (On-site)</w:t>
            </w:r>
          </w:p>
        </w:tc>
      </w:tr>
    </w:tbl>
    <w:bookmarkEnd w:id="23"/>
    <w:bookmarkStart w:id="24" w:name="X163bad9532cf4f79db0625319df19f0f800d6d6"/>
    <w:p>
      <w:pPr>
        <w:pStyle w:val="Heading2"/>
      </w:pPr>
      <w:r>
        <w:t xml:space="preserve">4. Financial Breakdown — Quotation Estimate Summary</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Cost (EGP)</w:t>
            </w:r>
          </w:p>
        </w:tc>
        <w:tc>
          <w:tcPr/>
          <w:p>
            <w:pPr>
              <w:pStyle w:val="Compact"/>
              <w:jc w:val="left"/>
            </w:pPr>
            <w:r>
              <w:t xml:space="preserve">Total (EGP)</w:t>
            </w:r>
          </w:p>
        </w:tc>
      </w:tr>
      <w:tr>
        <w:tc>
          <w:tcPr/>
          <w:p>
            <w:pPr>
              <w:pStyle w:val="Compact"/>
              <w:jc w:val="left"/>
            </w:pPr>
            <w:r>
              <w:t xml:space="preserve">1</w:t>
            </w:r>
          </w:p>
        </w:tc>
        <w:tc>
          <w:tcPr/>
          <w:p>
            <w:pPr>
              <w:pStyle w:val="Compact"/>
              <w:jc w:val="left"/>
            </w:pPr>
            <w:r>
              <w:t xml:space="preserve">Senior Data Scientist Professional Fee (13 weeks)</w:t>
            </w:r>
          </w:p>
        </w:tc>
        <w:tc>
          <w:tcPr/>
          <w:p>
            <w:pPr>
              <w:pStyle w:val="Compact"/>
              <w:jc w:val="left"/>
            </w:pPr>
            <w:r>
              <w:t xml:space="preserve">13 weeks</w:t>
            </w:r>
          </w:p>
        </w:tc>
        <w:tc>
          <w:tcPr/>
          <w:p>
            <w:pPr>
              <w:pStyle w:val="Compact"/>
              <w:jc w:val="left"/>
            </w:pPr>
            <w:r>
              <w:t xml:space="preserve">45,000</w:t>
            </w:r>
          </w:p>
        </w:tc>
        <w:tc>
          <w:tcPr/>
          <w:p>
            <w:pPr>
              <w:pStyle w:val="Compact"/>
              <w:jc w:val="left"/>
            </w:pPr>
            <w:r>
              <w:t xml:space="preserve">585,000</w:t>
            </w:r>
          </w:p>
        </w:tc>
      </w:tr>
      <w:tr>
        <w:tc>
          <w:tcPr/>
          <w:p>
            <w:pPr>
              <w:pStyle w:val="Compact"/>
              <w:jc w:val="left"/>
            </w:pPr>
            <w:r>
              <w:t xml:space="preserve">2</w:t>
            </w:r>
          </w:p>
        </w:tc>
        <w:tc>
          <w:tcPr/>
          <w:p>
            <w:pPr>
              <w:pStyle w:val="Compact"/>
              <w:jc w:val="left"/>
            </w:pPr>
            <w:r>
              <w:t xml:space="preserve">Cloud Computing &amp; Infrastructure (AWS/GCP)</w:t>
            </w:r>
          </w:p>
        </w:tc>
        <w:tc>
          <w:tcPr/>
          <w:p>
            <w:pPr>
              <w:pStyle w:val="Compact"/>
              <w:jc w:val="left"/>
            </w:pPr>
            <w:r>
              <w:t xml:space="preserve">13 weeks</w:t>
            </w:r>
          </w:p>
        </w:tc>
        <w:tc>
          <w:tcPr/>
          <w:p>
            <w:pPr>
              <w:pStyle w:val="Compact"/>
              <w:jc w:val="left"/>
            </w:pPr>
            <w:r>
              <w:t xml:space="preserve">12,000</w:t>
            </w:r>
          </w:p>
        </w:tc>
        <w:tc>
          <w:tcPr/>
          <w:p>
            <w:pPr>
              <w:pStyle w:val="Compact"/>
              <w:jc w:val="left"/>
            </w:pPr>
            <w:r>
              <w:t xml:space="preserve">156,000</w:t>
            </w:r>
          </w:p>
        </w:tc>
      </w:tr>
      <w:tr>
        <w:tc>
          <w:tcPr/>
          <w:p>
            <w:pPr>
              <w:pStyle w:val="Compact"/>
              <w:jc w:val="left"/>
            </w:pPr>
            <w:r>
              <w:t xml:space="preserve">3</w:t>
            </w:r>
          </w:p>
        </w:tc>
        <w:tc>
          <w:tcPr/>
          <w:p>
            <w:pPr>
              <w:pStyle w:val="Compact"/>
              <w:jc w:val="left"/>
            </w:pPr>
            <w:r>
              <w:t xml:space="preserve">Software Licenses &amp; Tooling</w:t>
            </w:r>
          </w:p>
        </w:tc>
        <w:tc>
          <w:tcPr/>
          <w:p>
            <w:pPr>
              <w:pStyle w:val="Compact"/>
              <w:jc w:val="left"/>
            </w:pPr>
            <w:r>
              <w:t xml:space="preserve">1 project</w:t>
            </w:r>
          </w:p>
        </w:tc>
        <w:tc>
          <w:tcPr/>
          <w:p>
            <w:pPr>
              <w:pStyle w:val="Compact"/>
              <w:jc w:val="left"/>
            </w:pPr>
            <w:r>
              <w:t xml:space="preserve">35,000</w:t>
            </w:r>
          </w:p>
        </w:tc>
        <w:tc>
          <w:tcPr/>
          <w:p>
            <w:pPr>
              <w:pStyle w:val="Compact"/>
              <w:jc w:val="left"/>
            </w:pPr>
            <w:r>
              <w:t xml:space="preserve">35,000</w:t>
            </w:r>
          </w:p>
        </w:tc>
      </w:tr>
      <w:tr>
        <w:tc>
          <w:tcPr/>
          <w:p>
            <w:pPr>
              <w:pStyle w:val="Compact"/>
              <w:jc w:val="left"/>
            </w:pPr>
            <w:r>
              <w:t xml:space="preserve">4</w:t>
            </w:r>
          </w:p>
        </w:tc>
        <w:tc>
          <w:tcPr/>
          <w:p>
            <w:pPr>
              <w:pStyle w:val="Compact"/>
              <w:jc w:val="left"/>
            </w:pPr>
            <w:r>
              <w:t xml:space="preserve">On-site Travel &amp; Accommodation (Egypt Alexandria)</w:t>
            </w:r>
          </w:p>
        </w:tc>
        <w:tc>
          <w:tcPr/>
          <w:p>
            <w:pPr>
              <w:pStyle w:val="Compact"/>
              <w:jc w:val="left"/>
            </w:pPr>
            <w:r>
              <w:t xml:space="preserve">4 weeks</w:t>
            </w:r>
          </w:p>
        </w:tc>
        <w:tc>
          <w:tcPr/>
          <w:p>
            <w:pPr>
              <w:pStyle w:val="Compact"/>
              <w:jc w:val="left"/>
            </w:pPr>
            <w:r>
              <w:t xml:space="preserve">8,500</w:t>
            </w:r>
          </w:p>
        </w:tc>
        <w:tc>
          <w:tcPr/>
          <w:p>
            <w:pPr>
              <w:pStyle w:val="Compact"/>
              <w:jc w:val="left"/>
            </w:pPr>
            <w:r>
              <w:t xml:space="preserve">34,000</w:t>
            </w:r>
          </w:p>
        </w:tc>
      </w:tr>
      <w:tr>
        <w:tc>
          <w:tcPr/>
          <w:p>
            <w:pPr>
              <w:pStyle w:val="Compact"/>
              <w:jc w:val="left"/>
            </w:pPr>
            <w:r>
              <w:t xml:space="preserve">5</w:t>
            </w:r>
          </w:p>
        </w:tc>
        <w:tc>
          <w:tcPr/>
          <w:p>
            <w:pPr>
              <w:pStyle w:val="Compact"/>
              <w:jc w:val="left"/>
            </w:pPr>
            <w:r>
              <w:t xml:space="preserve">Project Management &amp; Coordination</w:t>
            </w:r>
          </w:p>
        </w:tc>
        <w:tc>
          <w:tcPr/>
          <w:p>
            <w:pPr>
              <w:pStyle w:val="Compact"/>
              <w:jc w:val="left"/>
            </w:pPr>
            <w:r>
              <w:t xml:space="preserve">1 project</w:t>
            </w:r>
          </w:p>
        </w:tc>
        <w:tc>
          <w:tcPr/>
          <w:p>
            <w:pPr>
              <w:pStyle w:val="Compact"/>
              <w:jc w:val="left"/>
            </w:pPr>
            <w:r>
              <w:t xml:space="preserve">50,000</w:t>
            </w:r>
          </w:p>
        </w:tc>
        <w:tc>
          <w:tcPr/>
          <w:p>
            <w:pPr>
              <w:pStyle w:val="Compact"/>
              <w:jc w:val="left"/>
            </w:pPr>
            <w:r>
              <w:t xml:space="preserve">50,000</w:t>
            </w:r>
          </w:p>
        </w:tc>
      </w:tr>
      <w:tr>
        <w:tc>
          <w:tcPr/>
          <w:p>
            <w:pPr>
              <w:pStyle w:val="Compact"/>
              <w:jc w:val="left"/>
            </w:pPr>
            <w:r>
              <w:t xml:space="preserve">6</w:t>
            </w:r>
          </w:p>
        </w:tc>
        <w:tc>
          <w:tcPr/>
          <w:p>
            <w:pPr>
              <w:pStyle w:val="Compact"/>
              <w:jc w:val="left"/>
            </w:pPr>
            <w:r>
              <w:t xml:space="preserve">Documentation, Training &amp; Knowledge Transfer</w:t>
            </w:r>
          </w:p>
        </w:tc>
        <w:tc>
          <w:tcPr/>
          <w:p>
            <w:pPr>
              <w:pStyle w:val="Compact"/>
              <w:jc w:val="left"/>
            </w:pPr>
            <w:r>
              <w:t xml:space="preserve">1 package</w:t>
            </w:r>
          </w:p>
        </w:tc>
        <w:tc>
          <w:tcPr/>
          <w:p>
            <w:pPr>
              <w:pStyle w:val="Compact"/>
              <w:jc w:val="left"/>
            </w:pPr>
            <w:r>
              <w:t xml:space="preserve">25,000</w:t>
            </w:r>
          </w:p>
        </w:tc>
        <w:tc>
          <w:tcPr/>
          <w:p>
            <w:pPr>
              <w:pStyle w:val="Compact"/>
              <w:jc w:val="left"/>
            </w:pPr>
            <w:r>
              <w:t xml:space="preserve">25,000</w:t>
            </w:r>
          </w:p>
        </w:tc>
      </w:tr>
      <w:tr>
        <w:tc>
          <w:tcPr>
            <w:gridSpan w:val="4"/>
          </w:tcPr>
          <w:p>
            <w:pPr>
              <w:pStyle w:val="Compact"/>
              <w:jc w:val="left"/>
            </w:pPr>
            <w:r>
              <w:t xml:space="preserve">Subtotal</w:t>
            </w:r>
          </w:p>
        </w:tc>
        <w:tc>
          <w:tcPr/>
          <w:p>
            <w:pPr>
              <w:pStyle w:val="Compact"/>
              <w:jc w:val="left"/>
            </w:pPr>
            <w:r>
              <w:t xml:space="preserve">885,000</w:t>
            </w:r>
          </w:p>
        </w:tc>
      </w:tr>
      <w:tr>
        <w:tc>
          <w:tcPr>
            <w:gridSpan w:val="4"/>
          </w:tcPr>
          <w:p>
            <w:pPr>
              <w:pStyle w:val="Compact"/>
              <w:jc w:val="left"/>
            </w:pPr>
            <w:r>
              <w:t xml:space="preserve">VAT (14% — Egyptian Tax Authority)</w:t>
            </w:r>
          </w:p>
        </w:tc>
        <w:tc>
          <w:tcPr/>
          <w:p>
            <w:pPr>
              <w:pStyle w:val="Compact"/>
              <w:jc w:val="left"/>
            </w:pPr>
            <w:r>
              <w:t xml:space="preserve">123,900</w:t>
            </w:r>
          </w:p>
        </w:tc>
      </w:tr>
      <w:tr>
        <w:tc>
          <w:tcPr>
            <w:gridSpan w:val="4"/>
          </w:tcPr>
          <w:p>
            <w:pPr>
              <w:pStyle w:val="Compact"/>
              <w:jc w:val="left"/>
            </w:pPr>
            <w:r>
              <w:t xml:space="preserve">Grand Total (EGP)</w:t>
            </w:r>
          </w:p>
        </w:tc>
        <w:tc>
          <w:tcPr/>
          <w:p>
            <w:pPr>
              <w:pStyle w:val="Compact"/>
              <w:jc w:val="left"/>
            </w:pPr>
            <w:r>
              <w:t xml:space="preserve">1,008,900</w:t>
            </w:r>
          </w:p>
        </w:tc>
      </w:tr>
    </w:tbl>
    <w:bookmarkEnd w:id="24"/>
    <w:bookmarkStart w:id="25" w:name="terms-and-conditions"/>
    <w:p>
      <w:pPr>
        <w:pStyle w:val="Heading2"/>
      </w:pPr>
      <w:r>
        <w:t xml:space="preserve">5. Terms and Conditions</w:t>
      </w:r>
    </w:p>
    <w:p>
      <w:pPr>
        <w:numPr>
          <w:ilvl w:val="0"/>
          <w:numId w:val="1002"/>
        </w:numPr>
        <w:pStyle w:val="Compact"/>
      </w:pPr>
      <w:r>
        <w:t xml:space="preserve">This Quotation Estimate is valid for thirty (30) calendar days from the date of issue. Any acceptance beyond this period in Egypt Alexandria may be subject to revised pricing due to market fluctuations.</w:t>
      </w:r>
    </w:p>
    <w:p>
      <w:pPr>
        <w:numPr>
          <w:ilvl w:val="0"/>
          <w:numId w:val="1002"/>
        </w:numPr>
        <w:pStyle w:val="Compact"/>
      </w:pPr>
      <w:r>
        <w:t xml:space="preserve">Payment terms: 30% advance upon signing, 40% upon completion of Phase 3, and 30% upon final delivery and acceptance in Egypt Alexandria.</w:t>
      </w:r>
    </w:p>
    <w:p>
      <w:pPr>
        <w:numPr>
          <w:ilvl w:val="0"/>
          <w:numId w:val="1002"/>
        </w:numPr>
        <w:pStyle w:val="Compact"/>
      </w:pPr>
      <w:r>
        <w:t xml:space="preserve">All work performed by the Data Scientist under this Quotation Estimate shall comply with Egyptian intellectual property law and the client's internal data governance policies.</w:t>
      </w:r>
    </w:p>
    <w:p>
      <w:pPr>
        <w:numPr>
          <w:ilvl w:val="0"/>
          <w:numId w:val="1002"/>
        </w:numPr>
        <w:pStyle w:val="Compact"/>
      </w:pPr>
      <w:r>
        <w:t xml:space="preserve">The Data Scientist shall maintain strict confidentiality of all proprietary data and business information encountered during the engagement in Egypt Alexandria.</w:t>
      </w:r>
    </w:p>
    <w:p>
      <w:pPr>
        <w:numPr>
          <w:ilvl w:val="0"/>
          <w:numId w:val="1002"/>
        </w:numPr>
        <w:pStyle w:val="Compact"/>
      </w:pPr>
      <w:r>
        <w:t xml:space="preserve">Any scope changes beyond the defined deliverables will be subject to a supplementary Quotation Estimate issued by Data Solutions Consulting Ltd.</w:t>
      </w:r>
    </w:p>
    <w:p>
      <w:pPr>
        <w:numPr>
          <w:ilvl w:val="0"/>
          <w:numId w:val="1002"/>
        </w:numPr>
        <w:pStyle w:val="Compact"/>
      </w:pPr>
      <w:r>
        <w:t xml:space="preserve">This Quotation Estimate does not constitute a binding contract until formally accepted in writing by both parties.</w:t>
      </w:r>
    </w:p>
    <w:p>
      <w:pPr>
        <w:pStyle w:val="FirstParagraph"/>
      </w:pPr>
      <w:r>
        <w:rPr>
          <w:bCs/>
          <w:b/>
        </w:rPr>
        <w:t xml:space="preserve">Note:</w:t>
      </w:r>
      <w:r>
        <w:t xml:space="preserve"> </w:t>
      </w:r>
      <w:r>
        <w:t xml:space="preserve">All costs listed in this Quotation Estimate are denominated in Egyptian Pounds (EGP). The Data Scientist will be based in Egypt Alexandria for the duration of the engagement, with hybrid remote work permitted during Phase 2 and Phase 3 as outlined in the timeline. The client is responsible for providing secure access to all relevant data repositories and systems located in Egypt Alexandria.</w:t>
      </w:r>
    </w:p>
    <w:bookmarkEnd w:id="25"/>
    <w:bookmarkStart w:id="26" w:name="acceptance-and-authorization"/>
    <w:p>
      <w:pPr>
        <w:pStyle w:val="Heading2"/>
      </w:pPr>
      <w:r>
        <w:t xml:space="preserve">6. Acceptance and Authorization</w:t>
      </w:r>
    </w:p>
    <w:p>
      <w:pPr>
        <w:pStyle w:val="FirstParagraph"/>
      </w:pPr>
      <w:r>
        <w:t xml:space="preserve">By signing below, the client acknowledges and accepts the terms, scope, and financial details presented in this Quotation Estimate for the Data Scientist engagement in Egypt Alexandria. This signature constitutes formal approval to proceed with the project as described herein.</w:t>
      </w:r>
    </w:p>
    <w:p>
      <w:pPr>
        <w:pStyle w:val="BodyText"/>
      </w:pPr>
      <w:r>
        <w:t xml:space="preserve">Client Representative</w:t>
      </w:r>
      <w:r>
        <w:br/>
      </w:r>
      <w:r>
        <w:t xml:space="preserve">Name / Title / Date</w:t>
      </w:r>
    </w:p>
    <w:p>
      <w:pPr>
        <w:pStyle w:val="BodyText"/>
      </w:pPr>
      <w:r>
        <w:t xml:space="preserve">Data Solutions Consulting Ltd.</w:t>
      </w:r>
      <w:r>
        <w:br/>
      </w:r>
      <w:r>
        <w:t xml:space="preserve">Authorized Signatory / Date</w:t>
      </w:r>
    </w:p>
    <w:p>
      <w:pPr>
        <w:pStyle w:val="BodyText"/>
      </w:pPr>
      <w:r>
        <w:t xml:space="preserve">Data Solutions Consulting Ltd. | 12 Corniche El-Nil St., Alexandria, Egypt | Tel: +20 3 480 0000 | Email: proposals@datasolutions-egypt.com</w:t>
      </w:r>
    </w:p>
    <w:p>
      <w:pPr>
        <w:pStyle w:val="BodyText"/>
      </w:pPr>
      <w:r>
        <w:t xml:space="preserve">This Quotation Estimate document is confidential and intended solely for the named client. Unauthorized distribution is prohibited under Egyptian commercial law.</w:t>
      </w:r>
    </w:p>
    <w:p>
      <w:pPr>
        <w:pStyle w:val="BodyText"/>
      </w:pPr>
      <w:r>
        <w:t xml:space="preserve">Document ID: QTE-EGY-ALX-2025-0047 | Version 1.0 | Page 1 of 1</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Data Scientist Services - Egypt Alexandria</dc:title>
  <dc:creator/>
  <dc:language>en</dc:language>
  <cp:keywords/>
  <dcterms:created xsi:type="dcterms:W3CDTF">2026-10-10T02:54:16Z</dcterms:created>
  <dcterms:modified xsi:type="dcterms:W3CDTF">2026-10-10T02:54:16Z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