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Data</w:t>
      </w:r>
      <w:r>
        <w:t xml:space="preserve"> </w:t>
      </w:r>
      <w:r>
        <w:t xml:space="preserve">Scientist</w:t>
      </w:r>
      <w:r>
        <w:t xml:space="preserve"> </w:t>
      </w:r>
      <w:r>
        <w:t xml:space="preserve">-</w:t>
      </w:r>
      <w:r>
        <w:t xml:space="preserve"> </w:t>
      </w:r>
      <w:r>
        <w:t xml:space="preserve">Germany</w:t>
      </w:r>
      <w:r>
        <w:t xml:space="preserve"> </w:t>
      </w:r>
      <w:r>
        <w:t xml:space="preserve">Frankfurt</w:t>
      </w:r>
    </w:p>
    <w:bookmarkStart w:id="20" w:name="quotation-estimate"/>
    <w:p>
      <w:pPr>
        <w:pStyle w:val="Heading1"/>
      </w:pPr>
      <w:r>
        <w:t xml:space="preserve">QUOTATION ESTIMATE</w:t>
      </w:r>
    </w:p>
    <w:p>
      <w:pPr>
        <w:pStyle w:val="FirstParagraph"/>
      </w:pPr>
      <w:r>
        <w:t xml:space="preserve">Professional Data Scientist Services — Germany Frankfurt</w:t>
      </w:r>
    </w:p>
    <w:p>
      <w:pPr>
        <w:pStyle w:val="BodyText"/>
      </w:pPr>
      <w:r>
        <w:t xml:space="preserve">Ref: QE-2025-FRA-DS-0047 | Issued: 12 June 2025</w:t>
      </w:r>
    </w:p>
    <w:bookmarkEnd w:id="20"/>
    <w:tbl>
      <w:tblPr>
        <w:tblStyle w:val="Table"/>
        <w:tblW w:type="auto" w:w="0"/>
        <w:tblLook w:firstRow="0" w:lastRow="0" w:firstColumn="0" w:lastColumn="0" w:noHBand="0" w:noVBand="0" w:val="0000"/>
      </w:tblPr>
      <w:tblGrid>
        <w:gridCol w:w="3960"/>
        <w:gridCol w:w="3960"/>
      </w:tblGrid>
      <w:tr>
        <w:tc>
          <w:tcPr/>
          <w:p>
            <w:pPr>
              <w:pStyle w:val="Compact"/>
              <w:jc w:val="left"/>
            </w:pPr>
            <w:r>
              <w:t xml:space="preserve">Prepared By:</w:t>
            </w:r>
          </w:p>
        </w:tc>
        <w:tc>
          <w:tcPr/>
          <w:p>
            <w:pPr>
              <w:pStyle w:val="Compact"/>
              <w:jc w:val="left"/>
            </w:pPr>
            <w:r>
              <w:t xml:space="preserve">Apex Analytics Consulting GmbH, Mainzer Landstr. 210, 60329 Frankfurt am Main, Germany</w:t>
            </w:r>
          </w:p>
        </w:tc>
      </w:tr>
      <w:tr>
        <w:tc>
          <w:tcPr/>
          <w:p>
            <w:pPr>
              <w:pStyle w:val="Compact"/>
              <w:jc w:val="left"/>
            </w:pPr>
            <w:r>
              <w:t xml:space="preserve">Prepared For:</w:t>
            </w:r>
          </w:p>
        </w:tc>
        <w:tc>
          <w:tcPr/>
          <w:p>
            <w:pPr>
              <w:pStyle w:val="Compact"/>
              <w:jc w:val="left"/>
            </w:pPr>
            <w:r>
              <w:t xml:space="preserve">Client Name / Department, Frankfurt, Germany</w:t>
            </w:r>
          </w:p>
        </w:tc>
      </w:tr>
      <w:tr>
        <w:tc>
          <w:tcPr/>
          <w:p>
            <w:pPr>
              <w:pStyle w:val="Compact"/>
              <w:jc w:val="left"/>
            </w:pPr>
            <w:r>
              <w:t xml:space="preserve">Quotation Estimate No.:</w:t>
            </w:r>
          </w:p>
        </w:tc>
        <w:tc>
          <w:tcPr/>
          <w:p>
            <w:pPr>
              <w:pStyle w:val="Compact"/>
              <w:jc w:val="left"/>
            </w:pPr>
            <w:r>
              <w:t xml:space="preserve">QE-2025-FRA-DS-0047</w:t>
            </w:r>
          </w:p>
        </w:tc>
      </w:tr>
      <w:tr>
        <w:tc>
          <w:tcPr/>
          <w:p>
            <w:pPr>
              <w:pStyle w:val="Compact"/>
              <w:jc w:val="left"/>
            </w:pPr>
            <w:r>
              <w:t xml:space="preserve">Valid Until:</w:t>
            </w:r>
          </w:p>
        </w:tc>
        <w:tc>
          <w:tcPr/>
          <w:p>
            <w:pPr>
              <w:pStyle w:val="Compact"/>
              <w:jc w:val="left"/>
            </w:pPr>
            <w:r>
              <w:t xml:space="preserve">12 July 2025 (30 calendar days from date of issue)</w:t>
            </w:r>
          </w:p>
        </w:tc>
      </w:tr>
      <w:tr>
        <w:tc>
          <w:tcPr/>
          <w:p>
            <w:pPr>
              <w:pStyle w:val="Compact"/>
              <w:jc w:val="left"/>
            </w:pPr>
            <w:r>
              <w:t xml:space="preserve">Currency:</w:t>
            </w:r>
          </w:p>
        </w:tc>
        <w:tc>
          <w:tcPr/>
          <w:p>
            <w:pPr>
              <w:pStyle w:val="Compact"/>
              <w:jc w:val="left"/>
            </w:pPr>
            <w:r>
              <w:t xml:space="preserve">Euro (EUR)</w:t>
            </w:r>
          </w:p>
        </w:tc>
      </w:tr>
      <w:tr>
        <w:tc>
          <w:tcPr/>
          <w:p>
            <w:pPr>
              <w:pStyle w:val="Compact"/>
              <w:jc w:val="left"/>
            </w:pPr>
            <w:r>
              <w:t xml:space="preserve">Engagement Location:</w:t>
            </w:r>
          </w:p>
        </w:tc>
        <w:tc>
          <w:tcPr/>
          <w:p>
            <w:pPr>
              <w:pStyle w:val="Compact"/>
              <w:jc w:val="left"/>
            </w:pPr>
            <w:r>
              <w:t xml:space="preserve">Germany Frankfurt (on-site and hybrid options available)</w:t>
            </w:r>
          </w:p>
        </w:tc>
      </w:tr>
    </w:tbl>
    <w:p>
      <w:pPr>
        <w:pStyle w:val="BodyText"/>
      </w:pPr>
      <w:r>
        <w:t xml:space="preserve">1. Purpose of This Quotation Estimate</w:t>
      </w:r>
    </w:p>
    <w:p>
      <w:pPr>
        <w:pStyle w:val="BodyText"/>
      </w:pPr>
      <w:r>
        <w:t xml:space="preserve">This</w:t>
      </w:r>
      <w:r>
        <w:t xml:space="preserve"> </w:t>
      </w:r>
      <w:r>
        <w:t xml:space="preserve">Quotation Estimate</w:t>
      </w:r>
      <w:r>
        <w:t xml:space="preserve"> </w:t>
      </w:r>
      <w:r>
        <w:t xml:space="preserve">is issued by Apex Analytics Consulting GmbH to provide a comprehensive and transparent cost breakdown for the engagement of a senior</w:t>
      </w:r>
      <w:r>
        <w:t xml:space="preserve"> </w:t>
      </w:r>
      <w:r>
        <w:t xml:space="preserve">Data Scientist</w:t>
      </w:r>
      <w:r>
        <w:t xml:space="preserve"> </w:t>
      </w:r>
      <w:r>
        <w:t xml:space="preserve">to support the client's analytics and machine learning initiatives in</w:t>
      </w:r>
      <w:r>
        <w:t xml:space="preserve"> </w:t>
      </w:r>
      <w:r>
        <w:t xml:space="preserve">Germany Frankfurt</w:t>
      </w:r>
      <w:r>
        <w:t xml:space="preserve">. This document outlines the scope of services, applicable rates, estimated duration, and all commercial terms governing the proposed engagement. The</w:t>
      </w:r>
      <w:r>
        <w:t xml:space="preserve"> </w:t>
      </w:r>
      <w:r>
        <w:t xml:space="preserve">Quotation Estimate</w:t>
      </w:r>
      <w:r>
        <w:t xml:space="preserve"> </w:t>
      </w:r>
      <w:r>
        <w:t xml:space="preserve">is prepared in accordance with German commercial law and reflects current market rates for</w:t>
      </w:r>
      <w:r>
        <w:t xml:space="preserve"> </w:t>
      </w:r>
      <w:r>
        <w:t xml:space="preserve">Data Scientist</w:t>
      </w:r>
      <w:r>
        <w:t xml:space="preserve"> </w:t>
      </w:r>
      <w:r>
        <w:t xml:space="preserve">professionals operating in the Frankfurt financial and technology sector.</w:t>
      </w:r>
    </w:p>
    <w:p>
      <w:pPr>
        <w:pStyle w:val="BodyText"/>
      </w:pPr>
      <w:r>
        <w:t xml:space="preserve">2. Scope of Services — Data Scientist Role</w:t>
      </w:r>
    </w:p>
    <w:p>
      <w:pPr>
        <w:pStyle w:val="BodyText"/>
      </w:pPr>
      <w:r>
        <w:t xml:space="preserve">The</w:t>
      </w:r>
      <w:r>
        <w:t xml:space="preserve"> </w:t>
      </w:r>
      <w:r>
        <w:t xml:space="preserve">Data Scientist</w:t>
      </w:r>
      <w:r>
        <w:t xml:space="preserve"> </w:t>
      </w:r>
      <w:r>
        <w:t xml:space="preserve">engaged under this</w:t>
      </w:r>
      <w:r>
        <w:t xml:space="preserve"> </w:t>
      </w:r>
      <w:r>
        <w:t xml:space="preserve">Quotation Estimate</w:t>
      </w:r>
      <w:r>
        <w:t xml:space="preserve"> </w:t>
      </w:r>
      <w:r>
        <w:t xml:space="preserve">will be responsible for the following activities while based in or serving the</w:t>
      </w:r>
      <w:r>
        <w:t xml:space="preserve"> </w:t>
      </w:r>
      <w:r>
        <w:t xml:space="preserve">Germany Frankfurt</w:t>
      </w:r>
      <w:r>
        <w:t xml:space="preserve"> </w:t>
      </w:r>
      <w:r>
        <w:t xml:space="preserve">office:</w:t>
      </w:r>
    </w:p>
    <w:p>
      <w:pPr>
        <w:numPr>
          <w:ilvl w:val="0"/>
          <w:numId w:val="1001"/>
        </w:numPr>
        <w:pStyle w:val="Compact"/>
      </w:pPr>
      <w:r>
        <w:t xml:space="preserve">Design, development, and deployment of predictive analytics models and machine learning pipelines tailored to the client's business objectives.</w:t>
      </w:r>
    </w:p>
    <w:p>
      <w:pPr>
        <w:numPr>
          <w:ilvl w:val="0"/>
          <w:numId w:val="1001"/>
        </w:numPr>
        <w:pStyle w:val="Compact"/>
      </w:pPr>
      <w:r>
        <w:t xml:space="preserve">End-to-end data engineering tasks including data ingestion, cleaning, transformation, and feature engineering from structured and unstructured sources.</w:t>
      </w:r>
    </w:p>
    <w:p>
      <w:pPr>
        <w:numPr>
          <w:ilvl w:val="0"/>
          <w:numId w:val="1001"/>
        </w:numPr>
        <w:pStyle w:val="Compact"/>
      </w:pPr>
      <w:r>
        <w:t xml:space="preserve">Statistical analysis, hypothesis testing, and A/B experimentation to drive data-informed decision-making within the</w:t>
      </w:r>
      <w:r>
        <w:t xml:space="preserve"> </w:t>
      </w:r>
      <w:r>
        <w:t xml:space="preserve">Germany Frankfurt</w:t>
      </w:r>
      <w:r>
        <w:t xml:space="preserve"> </w:t>
      </w:r>
      <w:r>
        <w:t xml:space="preserve">operations.</w:t>
      </w:r>
    </w:p>
    <w:p>
      <w:pPr>
        <w:numPr>
          <w:ilvl w:val="0"/>
          <w:numId w:val="1001"/>
        </w:numPr>
        <w:pStyle w:val="Compact"/>
      </w:pPr>
      <w:r>
        <w:t xml:space="preserve">Collaboration with cross-functional teams (engineering, product, finance) to translate business problems into quantifiable analytical solutions.</w:t>
      </w:r>
    </w:p>
    <w:p>
      <w:pPr>
        <w:numPr>
          <w:ilvl w:val="0"/>
          <w:numId w:val="1001"/>
        </w:numPr>
        <w:pStyle w:val="Compact"/>
      </w:pPr>
      <w:r>
        <w:t xml:space="preserve">Development of dashboards, reporting frameworks, and automated monitoring systems using tools such as Python, R, SQL, TensorFlow, PyTorch, and cloud platforms (AWS, Azure, GCP).</w:t>
      </w:r>
    </w:p>
    <w:p>
      <w:pPr>
        <w:numPr>
          <w:ilvl w:val="0"/>
          <w:numId w:val="1001"/>
        </w:numPr>
        <w:pStyle w:val="Compact"/>
      </w:pPr>
      <w:r>
        <w:t xml:space="preserve">Knowledge transfer, mentoring of junior analysts, and documentation of all models and methodologies for long-term maintainability.</w:t>
      </w:r>
    </w:p>
    <w:p>
      <w:pPr>
        <w:numPr>
          <w:ilvl w:val="0"/>
          <w:numId w:val="1001"/>
        </w:numPr>
        <w:pStyle w:val="Compact"/>
      </w:pPr>
      <w:r>
        <w:t xml:space="preserve">Compliance with GDPR and German data protection regulations in all data handling and model development activities.</w:t>
      </w:r>
    </w:p>
    <w:p>
      <w:pPr>
        <w:pStyle w:val="FirstParagraph"/>
      </w:pPr>
      <w:r>
        <w:t xml:space="preserve">3. Rate Structure &amp; Cost Breakdown</w:t>
      </w:r>
    </w:p>
    <w:p>
      <w:pPr>
        <w:pStyle w:val="BodyText"/>
      </w:pPr>
      <w:r>
        <w:t xml:space="preserve">The following rates apply to the</w:t>
      </w:r>
      <w:r>
        <w:t xml:space="preserve"> </w:t>
      </w:r>
      <w:r>
        <w:t xml:space="preserve">Data Scientist</w:t>
      </w:r>
      <w:r>
        <w:t xml:space="preserve"> </w:t>
      </w:r>
      <w:r>
        <w:t xml:space="preserve">engagement as detailed in this</w:t>
      </w:r>
      <w:r>
        <w:t xml:space="preserve"> </w:t>
      </w:r>
      <w:r>
        <w:t xml:space="preserve">Quotation Estimate</w:t>
      </w:r>
      <w:r>
        <w:t xml:space="preserve"> </w:t>
      </w:r>
      <w:r>
        <w:t xml:space="preserve">for the</w:t>
      </w:r>
      <w:r>
        <w:t xml:space="preserve"> </w:t>
      </w:r>
      <w:r>
        <w:t xml:space="preserve">Germany Frankfurt</w:t>
      </w:r>
      <w:r>
        <w:t xml:space="preserve"> </w:t>
      </w:r>
      <w:r>
        <w:t xml:space="preserve">market:</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Service Component</w:t>
            </w:r>
          </w:p>
        </w:tc>
        <w:tc>
          <w:tcPr/>
          <w:p>
            <w:pPr>
              <w:pStyle w:val="Compact"/>
              <w:jc w:val="left"/>
            </w:pPr>
            <w:r>
              <w:t xml:space="preserve">Rate (EUR)</w:t>
            </w:r>
          </w:p>
        </w:tc>
        <w:tc>
          <w:tcPr/>
          <w:p>
            <w:pPr>
              <w:pStyle w:val="Compact"/>
              <w:jc w:val="left"/>
            </w:pPr>
            <w:r>
              <w:t xml:space="preserve">Estimated Hours</w:t>
            </w:r>
          </w:p>
        </w:tc>
        <w:tc>
          <w:tcPr/>
          <w:p>
            <w:pPr>
              <w:pStyle w:val="Compact"/>
              <w:jc w:val="left"/>
            </w:pPr>
            <w:r>
              <w:t xml:space="preserve">Subtotal (EUR)</w:t>
            </w:r>
          </w:p>
        </w:tc>
      </w:tr>
      <w:tr>
        <w:tc>
          <w:tcPr/>
          <w:p>
            <w:pPr>
              <w:pStyle w:val="Compact"/>
              <w:jc w:val="left"/>
            </w:pPr>
            <w:r>
              <w:t xml:space="preserve">Senior Data Scientist — On-site (Germany Frankfurt)</w:t>
            </w:r>
          </w:p>
        </w:tc>
        <w:tc>
          <w:tcPr/>
          <w:p>
            <w:pPr>
              <w:pStyle w:val="Compact"/>
              <w:jc w:val="left"/>
            </w:pPr>
            <w:r>
              <w:t xml:space="preserve">€95.00 / hour</w:t>
            </w:r>
          </w:p>
        </w:tc>
        <w:tc>
          <w:tcPr/>
          <w:p>
            <w:pPr>
              <w:pStyle w:val="Compact"/>
              <w:jc w:val="left"/>
            </w:pPr>
            <w:r>
              <w:t xml:space="preserve">160 hrs/month</w:t>
            </w:r>
          </w:p>
        </w:tc>
        <w:tc>
          <w:tcPr/>
          <w:p>
            <w:pPr>
              <w:pStyle w:val="Compact"/>
              <w:jc w:val="left"/>
            </w:pPr>
            <w:r>
              <w:t xml:space="preserve">€15,200.00</w:t>
            </w:r>
          </w:p>
        </w:tc>
      </w:tr>
      <w:tr>
        <w:tc>
          <w:tcPr/>
          <w:p>
            <w:pPr>
              <w:pStyle w:val="Compact"/>
              <w:jc w:val="left"/>
            </w:pPr>
            <w:r>
              <w:t xml:space="preserve">Senior Data Scientist — Hybrid / Remote</w:t>
            </w:r>
          </w:p>
        </w:tc>
        <w:tc>
          <w:tcPr/>
          <w:p>
            <w:pPr>
              <w:pStyle w:val="Compact"/>
              <w:jc w:val="left"/>
            </w:pPr>
            <w:r>
              <w:t xml:space="preserve">€88.00 / hour</w:t>
            </w:r>
          </w:p>
        </w:tc>
        <w:tc>
          <w:tcPr/>
          <w:p>
            <w:pPr>
              <w:pStyle w:val="Compact"/>
              <w:jc w:val="left"/>
            </w:pPr>
            <w:r>
              <w:t xml:space="preserve">160 hrs/month</w:t>
            </w:r>
          </w:p>
        </w:tc>
        <w:tc>
          <w:tcPr/>
          <w:p>
            <w:pPr>
              <w:pStyle w:val="Compact"/>
              <w:jc w:val="left"/>
            </w:pPr>
            <w:r>
              <w:t xml:space="preserve">€14,080.00</w:t>
            </w:r>
          </w:p>
        </w:tc>
      </w:tr>
      <w:tr>
        <w:tc>
          <w:tcPr/>
          <w:p>
            <w:pPr>
              <w:pStyle w:val="Compact"/>
              <w:jc w:val="left"/>
            </w:pPr>
            <w:r>
              <w:t xml:space="preserve">Project Kick-off &amp; Requirements Workshop</w:t>
            </w:r>
          </w:p>
        </w:tc>
        <w:tc>
          <w:tcPr/>
          <w:p>
            <w:pPr>
              <w:pStyle w:val="Compact"/>
              <w:jc w:val="left"/>
            </w:pPr>
            <w:r>
              <w:t xml:space="preserve">€1,200.00 (flat)</w:t>
            </w:r>
          </w:p>
        </w:tc>
        <w:tc>
          <w:tcPr/>
          <w:p>
            <w:pPr>
              <w:pStyle w:val="Compact"/>
              <w:jc w:val="left"/>
            </w:pPr>
            <w:r>
              <w:t xml:space="preserve">1 session</w:t>
            </w:r>
          </w:p>
        </w:tc>
        <w:tc>
          <w:tcPr/>
          <w:p>
            <w:pPr>
              <w:pStyle w:val="Compact"/>
              <w:jc w:val="left"/>
            </w:pPr>
            <w:r>
              <w:t xml:space="preserve">€1,200.00</w:t>
            </w:r>
          </w:p>
        </w:tc>
      </w:tr>
      <w:tr>
        <w:tc>
          <w:tcPr/>
          <w:p>
            <w:pPr>
              <w:pStyle w:val="Compact"/>
              <w:jc w:val="left"/>
            </w:pPr>
            <w:r>
              <w:t xml:space="preserve">Model Deployment &amp; Infrastructure Setup</w:t>
            </w:r>
          </w:p>
        </w:tc>
        <w:tc>
          <w:tcPr/>
          <w:p>
            <w:pPr>
              <w:pStyle w:val="Compact"/>
              <w:jc w:val="left"/>
            </w:pPr>
            <w:r>
              <w:t xml:space="preserve">€120.00 / hour</w:t>
            </w:r>
          </w:p>
        </w:tc>
        <w:tc>
          <w:tcPr/>
          <w:p>
            <w:pPr>
              <w:pStyle w:val="Compact"/>
              <w:jc w:val="left"/>
            </w:pPr>
            <w:r>
              <w:t xml:space="preserve">40 hrs</w:t>
            </w:r>
          </w:p>
        </w:tc>
        <w:tc>
          <w:tcPr/>
          <w:p>
            <w:pPr>
              <w:pStyle w:val="Compact"/>
              <w:jc w:val="left"/>
            </w:pPr>
            <w:r>
              <w:t xml:space="preserve">€4,800.00</w:t>
            </w:r>
          </w:p>
        </w:tc>
      </w:tr>
      <w:tr>
        <w:tc>
          <w:tcPr/>
          <w:p>
            <w:pPr>
              <w:pStyle w:val="Compact"/>
              <w:jc w:val="left"/>
            </w:pPr>
            <w:r>
              <w:t xml:space="preserve">Documentation &amp; Knowledge Transfer</w:t>
            </w:r>
          </w:p>
        </w:tc>
        <w:tc>
          <w:tcPr/>
          <w:p>
            <w:pPr>
              <w:pStyle w:val="Compact"/>
              <w:jc w:val="left"/>
            </w:pPr>
            <w:r>
              <w:t xml:space="preserve">€85.00 / hour</w:t>
            </w:r>
          </w:p>
        </w:tc>
        <w:tc>
          <w:tcPr/>
          <w:p>
            <w:pPr>
              <w:pStyle w:val="Compact"/>
              <w:jc w:val="left"/>
            </w:pPr>
            <w:r>
              <w:t xml:space="preserve">24 hrs</w:t>
            </w:r>
          </w:p>
        </w:tc>
        <w:tc>
          <w:tcPr/>
          <w:p>
            <w:pPr>
              <w:pStyle w:val="Compact"/>
              <w:jc w:val="left"/>
            </w:pPr>
            <w:r>
              <w:t xml:space="preserve">€2,040.00</w:t>
            </w:r>
          </w:p>
        </w:tc>
      </w:tr>
      <w:tr>
        <w:tc>
          <w:tcPr/>
          <w:p>
            <w:pPr>
              <w:pStyle w:val="Compact"/>
              <w:jc w:val="left"/>
            </w:pPr>
            <w:r>
              <w:t xml:space="preserve">Travel &amp; Local Expenses (Germany Frankfurt area)</w:t>
            </w:r>
          </w:p>
        </w:tc>
        <w:tc>
          <w:tcPr/>
          <w:p>
            <w:pPr>
              <w:pStyle w:val="Compact"/>
              <w:jc w:val="left"/>
            </w:pPr>
            <w:r>
              <w:t xml:space="preserve">Actuals (capped at €500/month)</w:t>
            </w:r>
          </w:p>
        </w:tc>
        <w:tc>
          <w:tcPr/>
          <w:p>
            <w:pPr>
              <w:pStyle w:val="Compact"/>
              <w:jc w:val="left"/>
            </w:pPr>
            <w:r>
              <w:t xml:space="preserve">—</w:t>
            </w:r>
          </w:p>
        </w:tc>
        <w:tc>
          <w:tcPr/>
          <w:p>
            <w:pPr>
              <w:pStyle w:val="Compact"/>
              <w:jc w:val="left"/>
            </w:pPr>
            <w:r>
              <w:t xml:space="preserve">€500.00</w:t>
            </w:r>
          </w:p>
        </w:tc>
      </w:tr>
      <w:tr>
        <w:tc>
          <w:tcPr>
            <w:gridSpan w:val="3"/>
          </w:tcPr>
          <w:p>
            <w:pPr>
              <w:pStyle w:val="Compact"/>
              <w:jc w:val="left"/>
            </w:pPr>
            <w:r>
              <w:t xml:space="preserve">Estimated Monthly Total (On-site basis)</w:t>
            </w:r>
          </w:p>
        </w:tc>
        <w:tc>
          <w:tcPr/>
          <w:p>
            <w:pPr>
              <w:pStyle w:val="Compact"/>
              <w:jc w:val="left"/>
            </w:pPr>
            <w:r>
              <w:t xml:space="preserve">€23,740.00</w:t>
            </w:r>
          </w:p>
        </w:tc>
      </w:tr>
    </w:tbl>
    <w:p>
      <w:pPr>
        <w:pStyle w:val="BodyText"/>
      </w:pPr>
      <w:r>
        <w:rPr>
          <w:iCs/>
          <w:i/>
        </w:rPr>
        <w:t xml:space="preserve">All rates are exclusive of 19% German Value Added Tax (VAT / Umsatzsteuer), which will be added to the final invoice in accordance with German tax regulations. The</w:t>
      </w:r>
      <w:r>
        <w:rPr>
          <w:iCs/>
          <w:i/>
        </w:rPr>
        <w:t xml:space="preserve"> </w:t>
      </w:r>
      <w:r>
        <w:rPr>
          <w:iCs/>
          <w:i/>
        </w:rPr>
        <w:t xml:space="preserve">Quotation Estimate</w:t>
      </w:r>
      <w:r>
        <w:rPr>
          <w:iCs/>
          <w:i/>
        </w:rPr>
        <w:t xml:space="preserve"> </w:t>
      </w:r>
      <w:r>
        <w:rPr>
          <w:iCs/>
          <w:i/>
        </w:rPr>
        <w:t xml:space="preserve">assumes a standard 40-hour work week (Monday to Friday) for the</w:t>
      </w:r>
      <w:r>
        <w:rPr>
          <w:iCs/>
          <w:i/>
        </w:rPr>
        <w:t xml:space="preserve"> </w:t>
      </w:r>
      <w:r>
        <w:rPr>
          <w:iCs/>
          <w:i/>
        </w:rPr>
        <w:t xml:space="preserve">Data Scientist</w:t>
      </w:r>
      <w:r>
        <w:rPr>
          <w:iCs/>
          <w:i/>
        </w:rPr>
        <w:t xml:space="preserve"> </w:t>
      </w:r>
      <w:r>
        <w:rPr>
          <w:iCs/>
          <w:i/>
        </w:rPr>
        <w:t xml:space="preserve">role.</w:t>
      </w:r>
    </w:p>
    <w:p>
      <w:pPr>
        <w:pStyle w:val="BodyText"/>
      </w:pPr>
      <w:r>
        <w:t xml:space="preserve">4. Engagement Duration &amp; Scheduling</w:t>
      </w:r>
    </w:p>
    <w:p>
      <w:pPr>
        <w:pStyle w:val="BodyText"/>
      </w:pPr>
      <w:r>
        <w:t xml:space="preserve">The initial engagement period for the</w:t>
      </w:r>
      <w:r>
        <w:t xml:space="preserve"> </w:t>
      </w:r>
      <w:r>
        <w:t xml:space="preserve">Data Scientist</w:t>
      </w:r>
      <w:r>
        <w:t xml:space="preserve"> </w:t>
      </w:r>
      <w:r>
        <w:t xml:space="preserve">under this</w:t>
      </w:r>
      <w:r>
        <w:t xml:space="preserve"> </w:t>
      </w:r>
      <w:r>
        <w:t xml:space="preserve">Quotation Estimate</w:t>
      </w:r>
      <w:r>
        <w:t xml:space="preserve"> </w:t>
      </w:r>
      <w:r>
        <w:t xml:space="preserve">is set at</w:t>
      </w:r>
      <w:r>
        <w:t xml:space="preserve"> </w:t>
      </w:r>
      <w:r>
        <w:rPr>
          <w:bCs/>
          <w:b/>
        </w:rPr>
        <w:t xml:space="preserve">three (3) months</w:t>
      </w:r>
      <w:r>
        <w:t xml:space="preserve">, commencing on the date of mutual written acceptance. The engagement may be extended in one-month increments upon mutual agreement. The</w:t>
      </w:r>
      <w:r>
        <w:t xml:space="preserve"> </w:t>
      </w:r>
      <w:r>
        <w:t xml:space="preserve">Data Scientist</w:t>
      </w:r>
      <w:r>
        <w:t xml:space="preserve"> </w:t>
      </w:r>
      <w:r>
        <w:t xml:space="preserve">will be based primarily at the client's premises in</w:t>
      </w:r>
      <w:r>
        <w:t xml:space="preserve"> </w:t>
      </w:r>
      <w:r>
        <w:t xml:space="preserve">Germany Frankfurt</w:t>
      </w:r>
      <w:r>
        <w:t xml:space="preserve">, with the option of up to two remote working days per week subject to client approval. All work will be conducted in compliance with German labor law (Arbeitszeitgesetz) and applicable collective agreements.</w:t>
      </w:r>
    </w:p>
    <w:p>
      <w:pPr>
        <w:pStyle w:val="BodyText"/>
      </w:pPr>
      <w:r>
        <w:t xml:space="preserve">5. Payment Terms</w:t>
      </w:r>
    </w:p>
    <w:p>
      <w:pPr>
        <w:numPr>
          <w:ilvl w:val="0"/>
          <w:numId w:val="1002"/>
        </w:numPr>
        <w:pStyle w:val="Compact"/>
      </w:pPr>
      <w:r>
        <w:t xml:space="preserve">Invoices will be issued on a monthly basis by the 5th business day following the end of each calendar month.</w:t>
      </w:r>
    </w:p>
    <w:p>
      <w:pPr>
        <w:numPr>
          <w:ilvl w:val="0"/>
          <w:numId w:val="1002"/>
        </w:numPr>
        <w:pStyle w:val="Compact"/>
      </w:pPr>
      <w:r>
        <w:t xml:space="preserve">Payment is due within 14 calendar days of invoice receipt (Zahlungsziel: 14 Tage).</w:t>
      </w:r>
    </w:p>
    <w:p>
      <w:pPr>
        <w:numPr>
          <w:ilvl w:val="0"/>
          <w:numId w:val="1002"/>
        </w:numPr>
        <w:pStyle w:val="Compact"/>
      </w:pPr>
      <w:r>
        <w:t xml:space="preserve">Late payments will incur interest at the statutory rate under Section 288 of the German Civil Code (BGB).</w:t>
      </w:r>
    </w:p>
    <w:p>
      <w:pPr>
        <w:numPr>
          <w:ilvl w:val="0"/>
          <w:numId w:val="1002"/>
        </w:numPr>
        <w:pStyle w:val="Compact"/>
      </w:pPr>
      <w:r>
        <w:t xml:space="preserve">A 20% mobilization fee is payable upon contract signature to cover onboarding and environment setup for the</w:t>
      </w:r>
      <w:r>
        <w:t xml:space="preserve"> </w:t>
      </w:r>
      <w:r>
        <w:t xml:space="preserve">Data Scientist</w:t>
      </w:r>
      <w:r>
        <w:t xml:space="preserve"> </w:t>
      </w:r>
      <w:r>
        <w:t xml:space="preserve">in</w:t>
      </w:r>
      <w:r>
        <w:t xml:space="preserve"> </w:t>
      </w:r>
      <w:r>
        <w:t xml:space="preserve">Germany Frankfurt</w:t>
      </w:r>
      <w:r>
        <w:t xml:space="preserve">.</w:t>
      </w:r>
    </w:p>
    <w:p>
      <w:pPr>
        <w:numPr>
          <w:ilvl w:val="0"/>
          <w:numId w:val="1002"/>
        </w:numPr>
        <w:pStyle w:val="Compact"/>
      </w:pPr>
      <w:r>
        <w:t xml:space="preserve">All payments shall be made via bank transfer (SEPA) to the account details provided on the invoice.</w:t>
      </w:r>
    </w:p>
    <w:p>
      <w:pPr>
        <w:pStyle w:val="FirstParagraph"/>
      </w:pPr>
      <w:r>
        <w:t xml:space="preserve">6. Terms &amp; Conditions</w:t>
      </w:r>
    </w:p>
    <w:p>
      <w:pPr>
        <w:numPr>
          <w:ilvl w:val="0"/>
          <w:numId w:val="1003"/>
        </w:numPr>
        <w:pStyle w:val="Compact"/>
      </w:pPr>
      <w:r>
        <w:t xml:space="preserve">This</w:t>
      </w:r>
      <w:r>
        <w:t xml:space="preserve"> </w:t>
      </w:r>
      <w:r>
        <w:t xml:space="preserve">Quotation Estimate</w:t>
      </w:r>
      <w:r>
        <w:t xml:space="preserve"> </w:t>
      </w:r>
      <w:r>
        <w:t xml:space="preserve">is valid for 30 days from the date of issue. After expiry, rates and availability of the</w:t>
      </w:r>
      <w:r>
        <w:t xml:space="preserve"> </w:t>
      </w:r>
      <w:r>
        <w:t xml:space="preserve">Data Scientist</w:t>
      </w:r>
      <w:r>
        <w:t xml:space="preserve"> </w:t>
      </w:r>
      <w:r>
        <w:t xml:space="preserve">may be subject to revision.</w:t>
      </w:r>
    </w:p>
    <w:p>
      <w:pPr>
        <w:numPr>
          <w:ilvl w:val="0"/>
          <w:numId w:val="1003"/>
        </w:numPr>
        <w:pStyle w:val="Compact"/>
      </w:pPr>
      <w:r>
        <w:t xml:space="preserve">The</w:t>
      </w:r>
      <w:r>
        <w:t xml:space="preserve"> </w:t>
      </w:r>
      <w:r>
        <w:t xml:space="preserve">Data Scientist</w:t>
      </w:r>
      <w:r>
        <w:t xml:space="preserve"> </w:t>
      </w:r>
      <w:r>
        <w:t xml:space="preserve">is engaged as a self-employed consultant (Freiberufler) and is not an employee of the client. Social security contributions are the sole responsibility of the consultant.</w:t>
      </w:r>
    </w:p>
    <w:p>
      <w:pPr>
        <w:numPr>
          <w:ilvl w:val="0"/>
          <w:numId w:val="1003"/>
        </w:numPr>
        <w:pStyle w:val="Compact"/>
      </w:pPr>
      <w:r>
        <w:t xml:space="preserve">All intellectual property, models, code, and documentation created during the engagement shall become the exclusive property of the client upon full payment.</w:t>
      </w:r>
    </w:p>
    <w:p>
      <w:pPr>
        <w:numPr>
          <w:ilvl w:val="0"/>
          <w:numId w:val="1003"/>
        </w:numPr>
        <w:pStyle w:val="Compact"/>
      </w:pPr>
      <w:r>
        <w:t xml:space="preserve">Confidentiality obligations as defined in a separate Non-Disclosure Agreement (NDA) shall apply throughout the engagement and for 24 months thereafter.</w:t>
      </w:r>
    </w:p>
    <w:p>
      <w:pPr>
        <w:numPr>
          <w:ilvl w:val="0"/>
          <w:numId w:val="1003"/>
        </w:numPr>
        <w:pStyle w:val="Compact"/>
      </w:pPr>
      <w:r>
        <w:t xml:space="preserve">Either party may terminate the engagement with 30 days' written notice. In the event of early termination, all work completed up to the termination date shall be invoiced.</w:t>
      </w:r>
    </w:p>
    <w:p>
      <w:pPr>
        <w:numPr>
          <w:ilvl w:val="0"/>
          <w:numId w:val="1003"/>
        </w:numPr>
        <w:pStyle w:val="Compact"/>
      </w:pPr>
      <w:r>
        <w:t xml:space="preserve">This</w:t>
      </w:r>
      <w:r>
        <w:t xml:space="preserve"> </w:t>
      </w:r>
      <w:r>
        <w:t xml:space="preserve">Quotation Estimate</w:t>
      </w:r>
      <w:r>
        <w:t xml:space="preserve"> </w:t>
      </w:r>
      <w:r>
        <w:t xml:space="preserve">is governed by the laws of the Federal Republic of Germany. Any disputes shall be subject to the exclusive jurisdiction of the competent courts in Frankfurt am Main, Germany.</w:t>
      </w:r>
    </w:p>
    <w:p>
      <w:pPr>
        <w:numPr>
          <w:ilvl w:val="0"/>
          <w:numId w:val="1003"/>
        </w:numPr>
        <w:pStyle w:val="Compact"/>
      </w:pPr>
      <w:r>
        <w:t xml:space="preserve">The</w:t>
      </w:r>
      <w:r>
        <w:t xml:space="preserve"> </w:t>
      </w:r>
      <w:r>
        <w:t xml:space="preserve">Data Scientist</w:t>
      </w:r>
      <w:r>
        <w:t xml:space="preserve"> </w:t>
      </w:r>
      <w:r>
        <w:t xml:space="preserve">shall comply with all applicable data protection regulations, including the EU General Data Protection Regulation (GDPR) and the German Federal Data Protection Act (BDSG).</w:t>
      </w:r>
    </w:p>
    <w:p>
      <w:pPr>
        <w:pStyle w:val="FirstParagraph"/>
      </w:pPr>
      <w:r>
        <w:t xml:space="preserve">7. Acceptance</w:t>
      </w:r>
    </w:p>
    <w:p>
      <w:pPr>
        <w:pStyle w:val="BodyText"/>
      </w:pPr>
      <w:r>
        <w:t xml:space="preserve">By signing below, both parties confirm their acceptance of this</w:t>
      </w:r>
      <w:r>
        <w:t xml:space="preserve"> </w:t>
      </w:r>
      <w:r>
        <w:t xml:space="preserve">Quotation Estimate</w:t>
      </w:r>
      <w:r>
        <w:t xml:space="preserve"> </w:t>
      </w:r>
      <w:r>
        <w:t xml:space="preserve">and agree to the terms outlined herein for the engagement of the</w:t>
      </w:r>
      <w:r>
        <w:t xml:space="preserve"> </w:t>
      </w:r>
      <w:r>
        <w:t xml:space="preserve">Data Scientist</w:t>
      </w:r>
      <w:r>
        <w:t xml:space="preserve"> </w:t>
      </w:r>
      <w:r>
        <w:t xml:space="preserve">in</w:t>
      </w:r>
      <w:r>
        <w:t xml:space="preserve"> </w:t>
      </w:r>
      <w:r>
        <w:t xml:space="preserve">Germany Frankfurt</w:t>
      </w:r>
      <w:r>
        <w:t xml:space="preserve">.</w:t>
      </w:r>
    </w:p>
    <w:p>
      <w:pPr>
        <w:pStyle w:val="BodyText"/>
      </w:pPr>
      <w:r>
        <w:rPr>
          <w:bCs/>
          <w:b/>
        </w:rPr>
        <w:t xml:space="preserve">For Apex Analytics Consulting GmbH</w:t>
      </w:r>
    </w:p>
    <w:p>
      <w:pPr>
        <w:pStyle w:val="BodyText"/>
      </w:pPr>
      <w:r>
        <w:t xml:space="preserve">Name / Signature / Date</w:t>
      </w:r>
    </w:p>
    <w:p>
      <w:pPr>
        <w:pStyle w:val="BodyText"/>
      </w:pPr>
      <w:r>
        <w:rPr>
          <w:bCs/>
          <w:b/>
        </w:rPr>
        <w:t xml:space="preserve">For the Client</w:t>
      </w:r>
    </w:p>
    <w:p>
      <w:pPr>
        <w:pStyle w:val="BodyText"/>
      </w:pPr>
      <w:r>
        <w:t xml:space="preserve">Name / Signature / Date</w:t>
      </w:r>
    </w:p>
    <w:p>
      <w:pPr>
        <w:pStyle w:val="BodyText"/>
      </w:pPr>
      <w:r>
        <w:t xml:space="preserve">Apex Analytics Consulting GmbH — HRB 123456, Amtsgericht Frankfurt am Main — USt-IdNr.: DE123456789</w:t>
      </w:r>
    </w:p>
    <w:p>
      <w:pPr>
        <w:pStyle w:val="BodyText"/>
      </w:pPr>
      <w:r>
        <w:t xml:space="preserve">Quotation Estimate QE-2025-FRA-DS-0047 — Data Scientist Services — Germany Frankfurt</w:t>
      </w:r>
    </w:p>
    <w:p>
      <w:pPr>
        <w:pStyle w:val="BodyText"/>
      </w:pPr>
      <w:r>
        <w:t xml:space="preserve">This document is confidential and intended solely for the named recipient. © 2025 Apex Analytics Consulting GmbH.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Data Scientist - Germany Frankfurt</dc:title>
  <dc:creator/>
  <dc:language>en</dc:language>
  <cp:keywords/>
  <dcterms:created xsi:type="dcterms:W3CDTF">2026-10-10T03:58:33Z</dcterms:created>
  <dcterms:modified xsi:type="dcterms:W3CDTF">2026-10-10T03:58:33Z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