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Data Scientist Engagement — India Bangalore</w:t>
      </w:r>
    </w:p>
    <w:p>
      <w:pPr>
        <w:pStyle w:val="BodyText"/>
      </w:pPr>
      <w:r>
        <w:t xml:space="preserve">Document Reference: QE-DS-BLR-2025-0047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QE-DS-BLR-2025-0047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Analytics &amp; Data Solutions Division, TechBridge Consulting Pvt. Ltd.</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India Bangalore — Offsite / Hybrid / Onsite (Client's premises, Bangalore, Karnataka, India)</w:t>
            </w:r>
          </w:p>
        </w:tc>
      </w:tr>
      <w:tr>
        <w:tc>
          <w:tcPr/>
          <w:p>
            <w:pPr>
              <w:pStyle w:val="Compact"/>
              <w:jc w:val="left"/>
            </w:pPr>
            <w:r>
              <w:t xml:space="preserve">Role</w:t>
            </w:r>
          </w:p>
        </w:tc>
        <w:tc>
          <w:tcPr/>
          <w:p>
            <w:pPr>
              <w:pStyle w:val="Compact"/>
              <w:jc w:val="left"/>
            </w:pPr>
            <w:r>
              <w:t xml:space="preserve">Data Scientist (Senior Level)</w:t>
            </w:r>
          </w:p>
        </w:tc>
      </w:tr>
      <w:tr>
        <w:tc>
          <w:tcPr/>
          <w:p>
            <w:pPr>
              <w:pStyle w:val="Compact"/>
              <w:jc w:val="left"/>
            </w:pPr>
            <w:r>
              <w:t xml:space="preserve">Engagement Duration</w:t>
            </w:r>
          </w:p>
        </w:tc>
        <w:tc>
          <w:tcPr/>
          <w:p>
            <w:pPr>
              <w:pStyle w:val="Compact"/>
              <w:jc w:val="left"/>
            </w:pPr>
            <w:r>
              <w:t xml:space="preserve">12 months (renewable)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Consulting Pvt. Ltd. to formally propose the engagement of a qualified</w:t>
      </w:r>
      <w:r>
        <w:t xml:space="preserve"> </w:t>
      </w:r>
      <w:r>
        <w:t xml:space="preserve">Data Scientist</w:t>
      </w:r>
      <w:r>
        <w:t xml:space="preserve"> </w:t>
      </w:r>
      <w:r>
        <w:t xml:space="preserve">for deployment at the client's operational base in</w:t>
      </w:r>
      <w:r>
        <w:t xml:space="preserve"> </w:t>
      </w:r>
      <w:r>
        <w:t xml:space="preserve">India Bangalore</w:t>
      </w:r>
      <w:r>
        <w:t xml:space="preserve">. The purpose of this document is to outline the scope of work, deliverables, resource profile, pricing structure, and commercial terms governing the proposed engagement. All rates, timelines, and conditions stated herein are binding upon mutual acceptance and execution of the associated Service Agreement.</w:t>
      </w:r>
    </w:p>
    <w:p>
      <w:pPr>
        <w:pStyle w:val="BodyText"/>
      </w:pPr>
      <w:r>
        <w:t xml:space="preserve">The</w:t>
      </w:r>
      <w:r>
        <w:t xml:space="preserve"> </w:t>
      </w:r>
      <w:r>
        <w:t xml:space="preserve">Data Scientist</w:t>
      </w:r>
      <w:r>
        <w:t xml:space="preserve"> </w:t>
      </w:r>
      <w:r>
        <w:t xml:space="preserve">proposed under this</w:t>
      </w:r>
      <w:r>
        <w:t xml:space="preserve"> </w:t>
      </w:r>
      <w:r>
        <w:t xml:space="preserve">Quotation Estimate</w:t>
      </w:r>
      <w:r>
        <w:t xml:space="preserve"> </w:t>
      </w:r>
      <w:r>
        <w:t xml:space="preserve">will be based in</w:t>
      </w:r>
      <w:r>
        <w:t xml:space="preserve"> </w:t>
      </w:r>
      <w:r>
        <w:t xml:space="preserve">India Bangalore</w:t>
      </w:r>
      <w:r>
        <w:t xml:space="preserve">, leveraging the city's established ecosystem of technology talent, research institutions, and enterprise infrastructure to deliver high-impact analytical solutions for the client's business objectives.</w:t>
      </w:r>
    </w:p>
    <w:bookmarkEnd w:id="21"/>
    <w:bookmarkStart w:id="22" w:name="scope-of-work"/>
    <w:p>
      <w:pPr>
        <w:pStyle w:val="Heading2"/>
      </w:pPr>
      <w:r>
        <w:t xml:space="preserve">2. Scope of Work</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core responsibilities while operating out of</w:t>
      </w:r>
      <w:r>
        <w:t xml:space="preserve"> </w:t>
      </w:r>
      <w:r>
        <w:t xml:space="preserve">India Bangalore</w:t>
      </w:r>
      <w:r>
        <w:t xml:space="preserve">:</w:t>
      </w:r>
    </w:p>
    <w:p>
      <w:pPr>
        <w:numPr>
          <w:ilvl w:val="0"/>
          <w:numId w:val="1001"/>
        </w:numPr>
        <w:pStyle w:val="Compact"/>
      </w:pPr>
      <w:r>
        <w:t xml:space="preserve">Design, develop, and deploy machine learning models, statistical analysis pipelines, and predictive analytics frameworks tailored to the client's domain requirements.</w:t>
      </w:r>
    </w:p>
    <w:p>
      <w:pPr>
        <w:numPr>
          <w:ilvl w:val="0"/>
          <w:numId w:val="1001"/>
        </w:numPr>
        <w:pStyle w:val="Compact"/>
      </w:pPr>
      <w:r>
        <w:t xml:space="preserve">Conduct exploratory data analysis (EDA), feature engineering, and data quality assessments on structured and unstructured datasets.</w:t>
      </w:r>
    </w:p>
    <w:p>
      <w:pPr>
        <w:numPr>
          <w:ilvl w:val="0"/>
          <w:numId w:val="1001"/>
        </w:numPr>
        <w:pStyle w:val="Compact"/>
      </w:pPr>
      <w:r>
        <w:t xml:space="preserve">Build and maintain data visualization dashboards using tools such as Tableau, Power BI, or custom Python-based interfaces.</w:t>
      </w:r>
    </w:p>
    <w:p>
      <w:pPr>
        <w:numPr>
          <w:ilvl w:val="0"/>
          <w:numId w:val="1001"/>
        </w:numPr>
        <w:pStyle w:val="Compact"/>
      </w:pPr>
      <w:r>
        <w:t xml:space="preserve">Collaborate with cross-functional teams including engineering, product, and business intelligence units located in</w:t>
      </w:r>
      <w:r>
        <w:t xml:space="preserve"> </w:t>
      </w:r>
      <w:r>
        <w:t xml:space="preserve">India Bangalore</w:t>
      </w:r>
      <w:r>
        <w:t xml:space="preserve"> </w:t>
      </w:r>
      <w:r>
        <w:t xml:space="preserve">and other client sites.</w:t>
      </w:r>
    </w:p>
    <w:p>
      <w:pPr>
        <w:numPr>
          <w:ilvl w:val="0"/>
          <w:numId w:val="1001"/>
        </w:numPr>
        <w:pStyle w:val="Compact"/>
      </w:pPr>
      <w:r>
        <w:t xml:space="preserve">Implement natural language processing (NLP) solutions, deep learning architectures, and time-series forecasting models as required by project milestones.</w:t>
      </w:r>
    </w:p>
    <w:p>
      <w:pPr>
        <w:numPr>
          <w:ilvl w:val="0"/>
          <w:numId w:val="1001"/>
        </w:numPr>
        <w:pStyle w:val="Compact"/>
      </w:pPr>
      <w:r>
        <w:t xml:space="preserve">Provide technical documentation, model governance reports, and periodic performance reviews to the client's project management office.</w:t>
      </w:r>
    </w:p>
    <w:p>
      <w:pPr>
        <w:numPr>
          <w:ilvl w:val="0"/>
          <w:numId w:val="1001"/>
        </w:numPr>
        <w:pStyle w:val="Compact"/>
      </w:pPr>
      <w:r>
        <w:t xml:space="preserve">Participate in architecture review boards, sprint planning sessions, and stakeholder presentations as scheduled by the client.</w:t>
      </w:r>
    </w:p>
    <w:bookmarkEnd w:id="22"/>
    <w:bookmarkStart w:id="23" w:name="resource-profile-qualifications"/>
    <w:p>
      <w:pPr>
        <w:pStyle w:val="Heading2"/>
      </w:pPr>
      <w:r>
        <w:t xml:space="preserve">3. Resource Profile &amp; Qualifications</w:t>
      </w:r>
    </w:p>
    <w:p>
      <w:pPr>
        <w:pStyle w:val="FirstParagraph"/>
      </w:pPr>
      <w:r>
        <w:t xml:space="preserve">The</w:t>
      </w:r>
      <w:r>
        <w:t xml:space="preserve"> </w:t>
      </w:r>
      <w:r>
        <w:t xml:space="preserve">Data Scientist</w:t>
      </w:r>
      <w:r>
        <w:t xml:space="preserve"> </w:t>
      </w:r>
      <w:r>
        <w:t xml:space="preserve">proposed in this</w:t>
      </w:r>
      <w:r>
        <w:t xml:space="preserve"> </w:t>
      </w:r>
      <w:r>
        <w:t xml:space="preserve">Quotation Estimate</w:t>
      </w:r>
      <w:r>
        <w:t xml:space="preserve"> </w:t>
      </w:r>
      <w:r>
        <w:t xml:space="preserve">shall meet the following minimum qualification criteria:</w:t>
      </w:r>
    </w:p>
    <w:p>
      <w:pPr>
        <w:numPr>
          <w:ilvl w:val="0"/>
          <w:numId w:val="1002"/>
        </w:numPr>
        <w:pStyle w:val="Compact"/>
      </w:pPr>
      <w:r>
        <w:t xml:space="preserve">Master's degree or PhD in Computer Science, Statistics, Mathematics, Data Science, or a closely related discipline from a recognized institution in India or abroad.</w:t>
      </w:r>
    </w:p>
    <w:p>
      <w:pPr>
        <w:numPr>
          <w:ilvl w:val="0"/>
          <w:numId w:val="1002"/>
        </w:numPr>
        <w:pStyle w:val="Compact"/>
      </w:pPr>
      <w:r>
        <w:t xml:space="preserve">Minimum 6 years of progressive professional experience in data science, machine learning engineering, or applied analytics roles.</w:t>
      </w:r>
    </w:p>
    <w:p>
      <w:pPr>
        <w:numPr>
          <w:ilvl w:val="0"/>
          <w:numId w:val="1002"/>
        </w:numPr>
        <w:pStyle w:val="Compact"/>
      </w:pPr>
      <w:r>
        <w:t xml:space="preserve">Proficiency in Python, R, SQL, and at least one major ML framework (TensorFlow, PyTorch, or Scikit-learn).</w:t>
      </w:r>
    </w:p>
    <w:p>
      <w:pPr>
        <w:numPr>
          <w:ilvl w:val="0"/>
          <w:numId w:val="1002"/>
        </w:numPr>
        <w:pStyle w:val="Compact"/>
      </w:pPr>
      <w:r>
        <w:t xml:space="preserve">Demonstrated experience with cloud platforms (AWS, Azure, or GCP) and big data technologies (Hadoop, Spark, Kafka).</w:t>
      </w:r>
    </w:p>
    <w:p>
      <w:pPr>
        <w:numPr>
          <w:ilvl w:val="0"/>
          <w:numId w:val="1002"/>
        </w:numPr>
        <w:pStyle w:val="Compact"/>
      </w:pPr>
      <w:r>
        <w:t xml:space="preserve">Strong communication skills in English (written and verbal) to interface effectively with client stakeholders in</w:t>
      </w:r>
      <w:r>
        <w:t xml:space="preserve"> </w:t>
      </w:r>
      <w:r>
        <w:t xml:space="preserve">India Bangalore</w:t>
      </w:r>
      <w:r>
        <w:t xml:space="preserve"> </w:t>
      </w:r>
      <w:r>
        <w:t xml:space="preserve">and international offices.</w:t>
      </w:r>
    </w:p>
    <w:p>
      <w:pPr>
        <w:numPr>
          <w:ilvl w:val="0"/>
          <w:numId w:val="1002"/>
        </w:numPr>
        <w:pStyle w:val="Compact"/>
      </w:pPr>
      <w:r>
        <w:t xml:space="preserve">Residency or willingness to relocate to</w:t>
      </w:r>
      <w:r>
        <w:t xml:space="preserve"> </w:t>
      </w:r>
      <w:r>
        <w:t xml:space="preserve">India Bangalore</w:t>
      </w:r>
      <w:r>
        <w:t xml:space="preserve"> </w:t>
      </w:r>
      <w:r>
        <w:t xml:space="preserve">for the duration of the engagement.</w:t>
      </w:r>
    </w:p>
    <w:bookmarkEnd w:id="23"/>
    <w:bookmarkStart w:id="24" w:name="pricing-commercial-terms"/>
    <w:p>
      <w:pPr>
        <w:pStyle w:val="Heading2"/>
      </w:pPr>
      <w:r>
        <w:t xml:space="preserve">4. Pricing &amp; Commercial Terms</w:t>
      </w:r>
    </w:p>
    <w:p>
      <w:pPr>
        <w:pStyle w:val="FirstParagraph"/>
      </w:pPr>
      <w:r>
        <w:t xml:space="preserve">The following</w:t>
      </w:r>
      <w:r>
        <w:t xml:space="preserve"> </w:t>
      </w:r>
      <w:r>
        <w:t xml:space="preserve">Quotation Estimate</w:t>
      </w:r>
      <w:r>
        <w:t xml:space="preserve"> </w:t>
      </w:r>
      <w:r>
        <w:t xml:space="preserve">pricing is structured on a monthly retainer basis for the</w:t>
      </w:r>
      <w:r>
        <w:t xml:space="preserve"> </w:t>
      </w:r>
      <w:r>
        <w:t xml:space="preserve">Data Scientist</w:t>
      </w:r>
      <w:r>
        <w:t xml:space="preserve"> </w:t>
      </w:r>
      <w:r>
        <w:t xml:space="preserve">engagement in</w:t>
      </w:r>
      <w:r>
        <w:t xml:space="preserve"> </w:t>
      </w:r>
      <w:r>
        <w:t xml:space="preserve">India Bangalore</w:t>
      </w:r>
      <w:r>
        <w:t xml:space="preserve">. All amounts are quoted in Indian Rupees (INR) and are inclusive of applicable taxes unless otherwise stated.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Rate (INR)</w:t>
            </w:r>
          </w:p>
        </w:tc>
        <w:tc>
          <w:tcPr/>
          <w:p>
            <w:pPr>
              <w:pStyle w:val="Compact"/>
              <w:jc w:val="left"/>
            </w:pPr>
            <w:r>
              <w:t xml:space="preserve">Annual (INR)</w:t>
            </w:r>
          </w:p>
        </w:tc>
      </w:tr>
      <w:tr>
        <w:tc>
          <w:tcPr/>
          <w:p>
            <w:pPr>
              <w:pStyle w:val="Compact"/>
              <w:jc w:val="left"/>
            </w:pPr>
            <w:r>
              <w:t xml:space="preserve">1</w:t>
            </w:r>
          </w:p>
        </w:tc>
        <w:tc>
          <w:tcPr/>
          <w:p>
            <w:pPr>
              <w:pStyle w:val="Compact"/>
              <w:jc w:val="left"/>
            </w:pPr>
            <w:r>
              <w:t xml:space="preserve">Senior Data Scientist — Professional Services Fee (16 hrs/day, 5 days/week)</w:t>
            </w:r>
          </w:p>
        </w:tc>
        <w:tc>
          <w:tcPr/>
          <w:p>
            <w:pPr>
              <w:pStyle w:val="Compact"/>
              <w:jc w:val="left"/>
            </w:pPr>
            <w:r>
              <w:t xml:space="preserve">₹ 2,85,000</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Cloud Infrastructure &amp; Compute Credits (AWS/GCP allocation for model training)</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3</w:t>
            </w:r>
          </w:p>
        </w:tc>
        <w:tc>
          <w:tcPr/>
          <w:p>
            <w:pPr>
              <w:pStyle w:val="Compact"/>
              <w:jc w:val="left"/>
            </w:pPr>
            <w:r>
              <w:t xml:space="preserve">Software Licenses &amp; Tooling (IDE, BI tools, version control enterprise seats)</w:t>
            </w:r>
          </w:p>
        </w:tc>
        <w:tc>
          <w:tcPr/>
          <w:p>
            <w:pPr>
              <w:pStyle w:val="Compact"/>
              <w:jc w:val="left"/>
            </w:pPr>
            <w:r>
              <w:t xml:space="preserve">₹ 18,000</w:t>
            </w:r>
          </w:p>
        </w:tc>
        <w:tc>
          <w:tcPr/>
          <w:p>
            <w:pPr>
              <w:pStyle w:val="Compact"/>
              <w:jc w:val="left"/>
            </w:pPr>
            <w:r>
              <w:t xml:space="preserve">₹ 2,16,000</w:t>
            </w:r>
          </w:p>
        </w:tc>
      </w:tr>
      <w:tr>
        <w:tc>
          <w:tcPr/>
          <w:p>
            <w:pPr>
              <w:pStyle w:val="Compact"/>
              <w:jc w:val="left"/>
            </w:pPr>
            <w:r>
              <w:t xml:space="preserve">4</w:t>
            </w:r>
          </w:p>
        </w:tc>
        <w:tc>
          <w:tcPr/>
          <w:p>
            <w:pPr>
              <w:pStyle w:val="Compact"/>
              <w:jc w:val="left"/>
            </w:pPr>
            <w:r>
              <w:t xml:space="preserve">Project Management &amp; Coordination Overhead (10% of Line Item 1)</w:t>
            </w:r>
          </w:p>
        </w:tc>
        <w:tc>
          <w:tcPr/>
          <w:p>
            <w:pPr>
              <w:pStyle w:val="Compact"/>
              <w:jc w:val="left"/>
            </w:pPr>
            <w:r>
              <w:t xml:space="preserve">₹ 28,500</w:t>
            </w:r>
          </w:p>
        </w:tc>
        <w:tc>
          <w:tcPr/>
          <w:p>
            <w:pPr>
              <w:pStyle w:val="Compact"/>
              <w:jc w:val="left"/>
            </w:pPr>
            <w:r>
              <w:t xml:space="preserve">₹ 3,42,000</w:t>
            </w:r>
          </w:p>
        </w:tc>
      </w:tr>
      <w:tr>
        <w:tc>
          <w:tcPr/>
          <w:p>
            <w:pPr>
              <w:pStyle w:val="Compact"/>
              <w:jc w:val="left"/>
            </w:pPr>
            <w:r>
              <w:t xml:space="preserve">5</w:t>
            </w:r>
          </w:p>
        </w:tc>
        <w:tc>
          <w:tcPr/>
          <w:p>
            <w:pPr>
              <w:pStyle w:val="Compact"/>
              <w:jc w:val="left"/>
            </w:pPr>
            <w:r>
              <w:t xml:space="preserve">Knowledge Transfer &amp; Documentation Deliverables (quarterly)</w:t>
            </w:r>
          </w:p>
        </w:tc>
        <w:tc>
          <w:tcPr/>
          <w:p>
            <w:pPr>
              <w:pStyle w:val="Compact"/>
              <w:jc w:val="left"/>
            </w:pPr>
            <w:r>
              <w:t xml:space="preserve">₹ 12,000</w:t>
            </w:r>
          </w:p>
        </w:tc>
        <w:tc>
          <w:tcPr/>
          <w:p>
            <w:pPr>
              <w:pStyle w:val="Compact"/>
              <w:jc w:val="left"/>
            </w:pPr>
            <w:r>
              <w:t xml:space="preserve">₹ 1,44,000</w:t>
            </w:r>
          </w:p>
        </w:tc>
      </w:tr>
      <w:tr>
        <w:tc>
          <w:tcPr>
            <w:gridSpan w:val="2"/>
          </w:tcPr>
          <w:p>
            <w:pPr>
              <w:pStyle w:val="Compact"/>
              <w:jc w:val="left"/>
            </w:pPr>
            <w:r>
              <w:t xml:space="preserve">Subtotal (Pre-Tax)</w:t>
            </w:r>
          </w:p>
        </w:tc>
        <w:tc>
          <w:tcPr/>
          <w:p>
            <w:pPr>
              <w:pStyle w:val="Compact"/>
              <w:jc w:val="left"/>
            </w:pPr>
            <w:r>
              <w:t xml:space="preserve">₹ 3,88,500</w:t>
            </w:r>
          </w:p>
        </w:tc>
        <w:tc>
          <w:tcPr/>
          <w:p>
            <w:pPr>
              <w:pStyle w:val="Compact"/>
              <w:jc w:val="left"/>
            </w:pPr>
            <w:r>
              <w:t xml:space="preserve">₹ 46,62,000</w:t>
            </w:r>
          </w:p>
        </w:tc>
      </w:tr>
      <w:tr>
        <w:tc>
          <w:tcPr>
            <w:gridSpan w:val="2"/>
          </w:tcPr>
          <w:p>
            <w:pPr>
              <w:pStyle w:val="Compact"/>
              <w:jc w:val="left"/>
            </w:pPr>
            <w:r>
              <w:t xml:space="preserve">GST @ 18% (Applicable in India Bangalore, Karnataka)</w:t>
            </w:r>
          </w:p>
        </w:tc>
        <w:tc>
          <w:tcPr/>
          <w:p>
            <w:pPr>
              <w:pStyle w:val="Compact"/>
              <w:jc w:val="left"/>
            </w:pPr>
            <w:r>
              <w:t xml:space="preserve">₹ 69,930</w:t>
            </w:r>
          </w:p>
        </w:tc>
        <w:tc>
          <w:tcPr/>
          <w:p>
            <w:pPr>
              <w:pStyle w:val="Compact"/>
              <w:jc w:val="left"/>
            </w:pPr>
            <w:r>
              <w:t xml:space="preserve">₹ 8,39,160</w:t>
            </w:r>
          </w:p>
        </w:tc>
      </w:tr>
      <w:tr>
        <w:tc>
          <w:tcPr>
            <w:gridSpan w:val="2"/>
          </w:tcPr>
          <w:p>
            <w:pPr>
              <w:pStyle w:val="Compact"/>
              <w:jc w:val="left"/>
            </w:pPr>
            <w:r>
              <w:rPr>
                <w:bCs/>
                <w:b/>
              </w:rPr>
              <w:t xml:space="preserve">Grand Total (Inclusive of GST)</w:t>
            </w:r>
          </w:p>
        </w:tc>
        <w:tc>
          <w:tcPr/>
          <w:p>
            <w:pPr>
              <w:pStyle w:val="Compact"/>
              <w:jc w:val="left"/>
            </w:pPr>
            <w:r>
              <w:rPr>
                <w:bCs/>
                <w:b/>
              </w:rPr>
              <w:t xml:space="preserve">₹ 4,58,430</w:t>
            </w:r>
          </w:p>
        </w:tc>
        <w:tc>
          <w:tcPr/>
          <w:p>
            <w:pPr>
              <w:pStyle w:val="Compact"/>
              <w:jc w:val="left"/>
            </w:pPr>
            <w:r>
              <w:rPr>
                <w:bCs/>
                <w:b/>
              </w:rPr>
              <w:t xml:space="preserve">₹ 55,01,160</w:t>
            </w:r>
          </w:p>
        </w:tc>
      </w:tr>
    </w:tbl>
    <w:p>
      <w:pPr>
        <w:pStyle w:val="BodyText"/>
      </w:pPr>
      <w:r>
        <w:t xml:space="preserve">This</w:t>
      </w:r>
      <w:r>
        <w:t xml:space="preserve"> </w:t>
      </w:r>
      <w:r>
        <w:t xml:space="preserve">Quotation Estimate</w:t>
      </w:r>
      <w:r>
        <w:t xml:space="preserve"> </w:t>
      </w:r>
      <w:r>
        <w:t xml:space="preserve">for the</w:t>
      </w:r>
      <w:r>
        <w:t xml:space="preserve"> </w:t>
      </w:r>
      <w:r>
        <w:t xml:space="preserve">Data Scientist</w:t>
      </w:r>
      <w:r>
        <w:t xml:space="preserve"> </w:t>
      </w:r>
      <w:r>
        <w:t xml:space="preserve">role in</w:t>
      </w:r>
      <w:r>
        <w:t xml:space="preserve"> </w:t>
      </w:r>
      <w:r>
        <w:t xml:space="preserve">India Bangalore</w:t>
      </w:r>
      <w:r>
        <w:t xml:space="preserve"> </w:t>
      </w:r>
      <w:r>
        <w:t xml:space="preserve">is valid for 30 calendar days from the date of issue. Beyond this period, rates may be revised to reflect market adjustments, currency fluctuations, or changes in applicable tax regulations in Karnataka, India.</w:t>
      </w:r>
    </w:p>
    <w:bookmarkEnd w:id="24"/>
    <w:bookmarkStart w:id="25" w:name="payment-terms"/>
    <w:p>
      <w:pPr>
        <w:pStyle w:val="Heading2"/>
      </w:pPr>
      <w:r>
        <w:t xml:space="preserve">5. Payment Terms</w:t>
      </w:r>
    </w:p>
    <w:p>
      <w:pPr>
        <w:numPr>
          <w:ilvl w:val="0"/>
          <w:numId w:val="1003"/>
        </w:numPr>
        <w:pStyle w:val="Compact"/>
      </w:pPr>
      <w:r>
        <w:t xml:space="preserve">Payment shall be made on a monthly basis, within 30 days of invoice receipt.</w:t>
      </w:r>
    </w:p>
    <w:p>
      <w:pPr>
        <w:numPr>
          <w:ilvl w:val="0"/>
          <w:numId w:val="1003"/>
        </w:numPr>
        <w:pStyle w:val="Compact"/>
      </w:pPr>
      <w:r>
        <w:t xml:space="preserve">A mobilization advance of 25% of the first month's fee may be requested upon contract execution.</w:t>
      </w:r>
    </w:p>
    <w:p>
      <w:pPr>
        <w:numPr>
          <w:ilvl w:val="0"/>
          <w:numId w:val="1003"/>
        </w:numPr>
        <w:pStyle w:val="Compact"/>
      </w:pPr>
      <w:r>
        <w:t xml:space="preserve">All payments shall be made via NEFT/RTGS to the bank account designated by TechBridge Consulting Pvt. Ltd., Bangalore, India.</w:t>
      </w:r>
    </w:p>
    <w:p>
      <w:pPr>
        <w:numPr>
          <w:ilvl w:val="0"/>
          <w:numId w:val="1003"/>
        </w:numPr>
        <w:pStyle w:val="Compact"/>
      </w:pPr>
      <w:r>
        <w:t xml:space="preserve">Late payments shall attract interest at 1.5% per month or the rate prescribed under the Interest Act, 1978, whichever is higher.</w:t>
      </w:r>
    </w:p>
    <w:bookmarkEnd w:id="25"/>
    <w:bookmarkStart w:id="26" w:name="terms-conditions"/>
    <w:p>
      <w:pPr>
        <w:pStyle w:val="Heading2"/>
      </w:pPr>
      <w:r>
        <w:t xml:space="preserve">6. Terms &amp; Conditions</w:t>
      </w:r>
    </w:p>
    <w:p>
      <w:pPr>
        <w:numPr>
          <w:ilvl w:val="0"/>
          <w:numId w:val="1004"/>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4"/>
        </w:numPr>
        <w:pStyle w:val="Compact"/>
      </w:pPr>
      <w:r>
        <w:t xml:space="preserve">The</w:t>
      </w:r>
      <w:r>
        <w:t xml:space="preserve"> </w:t>
      </w:r>
      <w:r>
        <w:t xml:space="preserve">Data Scientist</w:t>
      </w:r>
      <w:r>
        <w:t xml:space="preserve"> </w:t>
      </w:r>
      <w:r>
        <w:t xml:space="preserve">shall adhere to the client's information security policies, data privacy protocols, and intellectual property guidelines applicable in</w:t>
      </w:r>
      <w:r>
        <w:t xml:space="preserve"> </w:t>
      </w:r>
      <w:r>
        <w:t xml:space="preserve">India Bangalore</w:t>
      </w:r>
      <w:r>
        <w:t xml:space="preserve"> </w:t>
      </w:r>
      <w:r>
        <w:t xml:space="preserve">and under the Information Technology Act, 2000.</w:t>
      </w:r>
    </w:p>
    <w:p>
      <w:pPr>
        <w:numPr>
          <w:ilvl w:val="0"/>
          <w:numId w:val="1004"/>
        </w:numPr>
        <w:pStyle w:val="Compact"/>
      </w:pPr>
      <w:r>
        <w:t xml:space="preserve">Any deliverables, models, code, and documentation produced during the engagement shall be the exclusive intellectual property of the client upon full payment.</w:t>
      </w:r>
    </w:p>
    <w:p>
      <w:pPr>
        <w:numPr>
          <w:ilvl w:val="0"/>
          <w:numId w:val="1004"/>
        </w:numPr>
        <w:pStyle w:val="Compact"/>
      </w:pPr>
      <w:r>
        <w:t xml:space="preserve">Either party may terminate the engagement with 60 days' written notice. In the event of termination, pro-rata charges for the completed portion of the month shall apply.</w:t>
      </w:r>
    </w:p>
    <w:p>
      <w:pPr>
        <w:numPr>
          <w:ilvl w:val="0"/>
          <w:numId w:val="1004"/>
        </w:numPr>
        <w:pStyle w:val="Compact"/>
      </w:pPr>
      <w:r>
        <w:t xml:space="preserve">The</w:t>
      </w:r>
      <w:r>
        <w:t xml:space="preserve"> </w:t>
      </w:r>
      <w:r>
        <w:t xml:space="preserve">Data Scientist</w:t>
      </w:r>
      <w:r>
        <w:t xml:space="preserve"> </w:t>
      </w:r>
      <w:r>
        <w:t xml:space="preserve">shall not be engaged in any concurrent employment or consulting arrangement that creates a conflict of interest with the client's operations in</w:t>
      </w:r>
      <w:r>
        <w:t xml:space="preserve"> </w:t>
      </w:r>
      <w:r>
        <w:t xml:space="preserve">India Bangalore</w:t>
      </w:r>
      <w:r>
        <w:t xml:space="preserve">.</w:t>
      </w:r>
    </w:p>
    <w:p>
      <w:pPr>
        <w:numPr>
          <w:ilvl w:val="0"/>
          <w:numId w:val="1004"/>
        </w:numPr>
        <w:pStyle w:val="Compact"/>
      </w:pPr>
      <w:r>
        <w:t xml:space="preserve">Force majeure events, including but not limited to natural disasters, government-mandated lockdowns, or infrastructure failures in</w:t>
      </w:r>
      <w:r>
        <w:t xml:space="preserve"> </w:t>
      </w:r>
      <w:r>
        <w:t xml:space="preserve">India Bangalore</w:t>
      </w:r>
      <w:r>
        <w:t xml:space="preserve">, shall exempt both parties from performance obligations for the duration of such events.</w:t>
      </w:r>
    </w:p>
    <w:p>
      <w:pPr>
        <w:numPr>
          <w:ilvl w:val="0"/>
          <w:numId w:val="1004"/>
        </w:numPr>
        <w:pStyle w:val="Compact"/>
      </w:pPr>
      <w:r>
        <w:t xml:space="preserve">Disputes arising from this</w:t>
      </w:r>
      <w:r>
        <w:t xml:space="preserve"> </w:t>
      </w:r>
      <w:r>
        <w:t xml:space="preserve">Quotation Estimate</w:t>
      </w:r>
      <w:r>
        <w:t xml:space="preserve"> </w:t>
      </w:r>
      <w:r>
        <w:t xml:space="preserve">or the subsequent agreement shall be resolved through arbitration in Bangalore, Karnataka, India, in accordance with the Arbitration and Conciliation Act, 1996.</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India Bangalore</w:t>
      </w:r>
      <w:r>
        <w:t xml:space="preserve"> </w:t>
      </w:r>
      <w:r>
        <w:t xml:space="preserve">and agrees to the terms, pricing, and conditions outlined herein. This acceptance shall serve as the basis for drafting the definitive Service Agreement.</w:t>
      </w:r>
    </w:p>
    <w:p>
      <w:pPr>
        <w:pStyle w:val="BodyText"/>
      </w:pPr>
      <w:r>
        <w:rPr>
          <w:bCs/>
          <w:b/>
        </w:rPr>
        <w:t xml:space="preserve">For TechBridge Consulting Pvt. Ltd.</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Client Organization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TechBridge Consulting Pvt. Ltd. | Registered Office: 4th Floor, Innovation Tower, Outer Ring Road, Indiranagar, Bangalore, Karnataka 560038, India</w:t>
      </w:r>
      <w:r>
        <w:br/>
      </w:r>
      <w:r>
        <w:t xml:space="preserve">CIN: U72900KA2019PTC000000 | GSTIN: 29ABCDE1234F1Z5 | Phone: +91-80-4000-XXXX | Email: quotations@techbridge.in</w:t>
      </w:r>
      <w:r>
        <w:br/>
      </w:r>
      <w:r>
        <w:t xml:space="preserve">This Quotation Estimate is confidential and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India Bangalore</dc:title>
  <dc:creator/>
  <dc:language>en</dc:language>
  <cp:keywords/>
  <dcterms:created xsi:type="dcterms:W3CDTF">2026-10-10T04:30:41Z</dcterms:created>
  <dcterms:modified xsi:type="dcterms:W3CDTF">2026-10-10T04:30:41Z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