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Israel</w:t>
      </w:r>
      <w:r>
        <w:t xml:space="preserve"> </w:t>
      </w:r>
      <w:r>
        <w:t xml:space="preserve">Tel</w:t>
      </w:r>
      <w:r>
        <w:t xml:space="preserve"> </w:t>
      </w:r>
      <w:r>
        <w:t xml:space="preserve">Aviv</w:t>
      </w:r>
    </w:p>
    <w:bookmarkStart w:id="20" w:name="meridian-analytics-solutions-ltd."/>
    <w:p>
      <w:pPr>
        <w:pStyle w:val="Heading1"/>
      </w:pPr>
      <w:r>
        <w:t xml:space="preserve">Meridian Analytics Solutions Ltd.</w:t>
      </w:r>
    </w:p>
    <w:p>
      <w:pPr>
        <w:pStyle w:val="FirstParagraph"/>
      </w:pPr>
      <w:r>
        <w:t xml:space="preserve">120 Allenby Street, Tel Aviv-Yafo, 6500100, Israel</w:t>
      </w:r>
    </w:p>
    <w:p>
      <w:pPr>
        <w:pStyle w:val="BodyText"/>
      </w:pPr>
      <w:r>
        <w:t xml:space="preserve">Tel: +972-3-555-0142 | Email: estimates@meridiananalytics.co.il</w:t>
      </w:r>
    </w:p>
    <w:p>
      <w:pPr>
        <w:pStyle w:val="BodyText"/>
      </w:pPr>
      <w:r>
        <w:t xml:space="preserve">VAT No.: 51-804-221-97 | Company Reg: 51-804-221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QE-2025-TLV-0487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Client (see below)</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Tel Aviv, Israel]</w:t>
      </w:r>
    </w:p>
    <w:p>
      <w:pPr>
        <w:pStyle w:val="BodyText"/>
      </w:pPr>
      <w:r>
        <w:rPr>
          <w:bCs/>
          <w:b/>
        </w:rPr>
        <w:t xml:space="preserve">Contact Person:</w:t>
      </w:r>
      <w:r>
        <w:t xml:space="preserve"> </w:t>
      </w:r>
      <w:r>
        <w:t xml:space="preserve">[Name, Title]</w:t>
      </w:r>
    </w:p>
    <w:p>
      <w:pPr>
        <w:pStyle w:val="BodyText"/>
      </w:pPr>
      <w:r>
        <w:rPr>
          <w:bCs/>
          <w:b/>
        </w:rPr>
        <w:t xml:space="preserve">Email:</w:t>
      </w:r>
      <w:r>
        <w:t xml:space="preserve"> </w:t>
      </w:r>
      <w:r>
        <w:t xml:space="preserve">[client@email.com]</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Analytics Solutions Ltd. to provide a comprehensive and transparent financial proposal for the engagement of a senior</w:t>
      </w:r>
      <w:r>
        <w:t xml:space="preserve"> </w:t>
      </w:r>
      <w:r>
        <w:t xml:space="preserve">Data Scientist</w:t>
      </w:r>
      <w:r>
        <w:t xml:space="preserve"> </w:t>
      </w:r>
      <w:r>
        <w:t xml:space="preserve">professional to be deployed and operated within the</w:t>
      </w:r>
      <w:r>
        <w:t xml:space="preserve"> </w:t>
      </w:r>
      <w:r>
        <w:t xml:space="preserve">Israel Tel Aviv</w:t>
      </w:r>
      <w:r>
        <w:t xml:space="preserve"> </w:t>
      </w:r>
      <w:r>
        <w:t xml:space="preserve">metropolitan area. This document outlines the scope of services, applicable rates, project duration, and all associated terms governing the professional engagement. The</w:t>
      </w:r>
      <w:r>
        <w:t xml:space="preserve"> </w:t>
      </w:r>
      <w:r>
        <w:t xml:space="preserve">Quotation Estimate</w:t>
      </w:r>
      <w:r>
        <w:t xml:space="preserve"> </w:t>
      </w:r>
      <w:r>
        <w:t xml:space="preserve">reflects current market conditions in the</w:t>
      </w:r>
      <w:r>
        <w:t xml:space="preserve"> </w:t>
      </w:r>
      <w:r>
        <w:t xml:space="preserve">Israel Tel Aviv</w:t>
      </w:r>
      <w:r>
        <w:t xml:space="preserve"> </w:t>
      </w:r>
      <w:r>
        <w:t xml:space="preserve">technology sector and is calibrated to the specific requirements of the requesting organization.</w:t>
      </w:r>
    </w:p>
    <w:bookmarkEnd w:id="23"/>
    <w:bookmarkStart w:id="24" w:name="X643f13e852b1a588327cc0852d6a19d6d618590"/>
    <w:p>
      <w:pPr>
        <w:pStyle w:val="Heading2"/>
      </w:pPr>
      <w:r>
        <w:t xml:space="preserve">2. Scope of Services – Data Scientist Engagement</w:t>
      </w:r>
    </w:p>
    <w:p>
      <w:pPr>
        <w:pStyle w:val="FirstParagraph"/>
      </w:pPr>
      <w:r>
        <w:t xml:space="preserve">The</w:t>
      </w:r>
      <w:r>
        <w:t xml:space="preserve"> </w:t>
      </w:r>
      <w:r>
        <w:t xml:space="preserve">Data Scientist</w:t>
      </w:r>
      <w:r>
        <w:t xml:space="preserve"> </w:t>
      </w:r>
      <w:r>
        <w:t xml:space="preserve">engagement described in this</w:t>
      </w:r>
      <w:r>
        <w:t xml:space="preserve"> </w:t>
      </w:r>
      <w:r>
        <w:t xml:space="preserve">Quotation Estimate</w:t>
      </w:r>
      <w:r>
        <w:t xml:space="preserve"> </w:t>
      </w:r>
      <w:r>
        <w:t xml:space="preserve">encompasses the following professional deliverables and responsibilities, all to be performed on-site or in a hybrid arrangement within the</w:t>
      </w:r>
      <w:r>
        <w:t xml:space="preserve"> </w:t>
      </w:r>
      <w:r>
        <w:t xml:space="preserve">Israel Tel Aviv</w:t>
      </w:r>
      <w:r>
        <w:t xml:space="preserve"> </w:t>
      </w:r>
      <w:r>
        <w:t xml:space="preserve">business district: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Estimated Hours</w:t>
            </w:r>
          </w:p>
        </w:tc>
      </w:tr>
      <w:tr>
        <w:tc>
          <w:tcPr/>
          <w:p>
            <w:pPr>
              <w:pStyle w:val="Compact"/>
              <w:jc w:val="left"/>
            </w:pPr>
            <w:r>
              <w:t xml:space="preserve">Machine Learning Model Development</w:t>
            </w:r>
          </w:p>
        </w:tc>
        <w:tc>
          <w:tcPr/>
          <w:p>
            <w:pPr>
              <w:pStyle w:val="Compact"/>
              <w:jc w:val="left"/>
            </w:pPr>
            <w:r>
              <w:t xml:space="preserve">Design, training, and deployment of predictive and classification models using Python, scikit-learn, TensorFlow, and PyTorch frameworks tailored to the client's operational data.</w:t>
            </w:r>
          </w:p>
        </w:tc>
        <w:tc>
          <w:tcPr/>
          <w:p>
            <w:pPr>
              <w:pStyle w:val="Compact"/>
              <w:jc w:val="left"/>
            </w:pPr>
            <w:r>
              <w:t xml:space="preserve">120</w:t>
            </w:r>
          </w:p>
        </w:tc>
      </w:tr>
      <w:tr>
        <w:tc>
          <w:tcPr/>
          <w:p>
            <w:pPr>
              <w:pStyle w:val="Compact"/>
              <w:jc w:val="left"/>
            </w:pPr>
            <w:r>
              <w:t xml:space="preserve">Data Pipeline Architecture</w:t>
            </w:r>
          </w:p>
        </w:tc>
        <w:tc>
          <w:tcPr/>
          <w:p>
            <w:pPr>
              <w:pStyle w:val="Compact"/>
              <w:jc w:val="left"/>
            </w:pPr>
            <w:r>
              <w:t xml:space="preserve">Construction of end-to-end ETL/ELT pipelines integrating structured and unstructured data sources, including real-time streaming via Apache Kafka and batch processing via Apache Spark.</w:t>
            </w:r>
          </w:p>
        </w:tc>
        <w:tc>
          <w:tcPr/>
          <w:p>
            <w:pPr>
              <w:pStyle w:val="Compact"/>
              <w:jc w:val="left"/>
            </w:pPr>
            <w:r>
              <w:t xml:space="preserve">80</w:t>
            </w:r>
          </w:p>
        </w:tc>
      </w:tr>
      <w:tr>
        <w:tc>
          <w:tcPr/>
          <w:p>
            <w:pPr>
              <w:pStyle w:val="Compact"/>
              <w:jc w:val="left"/>
            </w:pPr>
            <w:r>
              <w:t xml:space="preserve">Statistical Analysis &amp; Reporting</w:t>
            </w:r>
          </w:p>
        </w:tc>
        <w:tc>
          <w:tcPr/>
          <w:p>
            <w:pPr>
              <w:pStyle w:val="Compact"/>
              <w:jc w:val="left"/>
            </w:pPr>
            <w:r>
              <w:t xml:space="preserve">Advanced exploratory data analysis, hypothesis testing, A/B experiment design, and the production of executive-level analytical dashboards using Tableau and Power BI.</w:t>
            </w:r>
          </w:p>
        </w:tc>
        <w:tc>
          <w:tcPr/>
          <w:p>
            <w:pPr>
              <w:pStyle w:val="Compact"/>
              <w:jc w:val="left"/>
            </w:pPr>
            <w:r>
              <w:t xml:space="preserve">60</w:t>
            </w:r>
          </w:p>
        </w:tc>
      </w:tr>
      <w:tr>
        <w:tc>
          <w:tcPr/>
          <w:p>
            <w:pPr>
              <w:pStyle w:val="Compact"/>
              <w:jc w:val="left"/>
            </w:pPr>
            <w:r>
              <w:t xml:space="preserve">Natural Language Processing (NLP)</w:t>
            </w:r>
          </w:p>
        </w:tc>
        <w:tc>
          <w:tcPr/>
          <w:p>
            <w:pPr>
              <w:pStyle w:val="Compact"/>
              <w:jc w:val="left"/>
            </w:pPr>
            <w:r>
              <w:t xml:space="preserve">Development of sentiment analysis, entity extraction, and multilingual text-processing modules supporting both English and Hebrew language corpora relevant to the</w:t>
            </w:r>
            <w:r>
              <w:t xml:space="preserve"> </w:t>
            </w:r>
            <w:r>
              <w:t xml:space="preserve">Israel Tel Aviv</w:t>
            </w:r>
            <w:r>
              <w:t xml:space="preserve"> </w:t>
            </w:r>
            <w:r>
              <w:t xml:space="preserve">market.</w:t>
            </w:r>
          </w:p>
        </w:tc>
        <w:tc>
          <w:tcPr/>
          <w:p>
            <w:pPr>
              <w:pStyle w:val="Compact"/>
              <w:jc w:val="left"/>
            </w:pPr>
            <w:r>
              <w:t xml:space="preserve">70</w:t>
            </w:r>
          </w:p>
        </w:tc>
      </w:tr>
      <w:tr>
        <w:tc>
          <w:tcPr/>
          <w:p>
            <w:pPr>
              <w:pStyle w:val="Compact"/>
              <w:jc w:val="left"/>
            </w:pPr>
            <w:r>
              <w:t xml:space="preserve">Model Monitoring &amp; MLOps</w:t>
            </w:r>
          </w:p>
        </w:tc>
        <w:tc>
          <w:tcPr/>
          <w:p>
            <w:pPr>
              <w:pStyle w:val="Compact"/>
              <w:jc w:val="left"/>
            </w:pPr>
            <w:r>
              <w:t xml:space="preserve">Implementation of continuous model performance monitoring, drift detection, and automated retraining workflows using MLflow and Dockerized microservices.</w:t>
            </w:r>
          </w:p>
        </w:tc>
        <w:tc>
          <w:tcPr/>
          <w:p>
            <w:pPr>
              <w:pStyle w:val="Compact"/>
              <w:jc w:val="left"/>
            </w:pPr>
            <w:r>
              <w:t xml:space="preserve">50</w:t>
            </w:r>
          </w:p>
        </w:tc>
      </w:tr>
      <w:tr>
        <w:tc>
          <w:tcPr/>
          <w:p>
            <w:pPr>
              <w:pStyle w:val="Compact"/>
              <w:jc w:val="left"/>
            </w:pPr>
            <w:r>
              <w:t xml:space="preserve">Knowledge Transfer &amp; Training</w:t>
            </w:r>
          </w:p>
        </w:tc>
        <w:tc>
          <w:tcPr/>
          <w:p>
            <w:pPr>
              <w:pStyle w:val="Compact"/>
              <w:jc w:val="left"/>
            </w:pPr>
            <w:r>
              <w:t xml:space="preserve">Structured onboarding sessions for the client's internal analytics team, including documentation, code walkthroughs, and best-practice workshops conducted in</w:t>
            </w:r>
            <w:r>
              <w:t xml:space="preserve"> </w:t>
            </w:r>
            <w:r>
              <w:t xml:space="preserve">Israel Tel Aviv</w:t>
            </w:r>
            <w:r>
              <w:t xml:space="preserve">.</w:t>
            </w:r>
          </w:p>
        </w:tc>
        <w:tc>
          <w:tcPr/>
          <w:p>
            <w:pPr>
              <w:pStyle w:val="Compact"/>
              <w:jc w:val="left"/>
            </w:pPr>
            <w:r>
              <w:t xml:space="preserve">30</w:t>
            </w:r>
          </w:p>
        </w:tc>
      </w:tr>
    </w:tbl>
    <w:p>
      <w:pPr>
        <w:pStyle w:val="BodyText"/>
      </w:pPr>
      <w:r>
        <w:t xml:space="preserve">Total estimated professional hours for the</w:t>
      </w:r>
      <w:r>
        <w:t xml:space="preserve"> </w:t>
      </w:r>
      <w:r>
        <w:t xml:space="preserve">Data Scientist</w:t>
      </w:r>
      <w:r>
        <w:t xml:space="preserve"> </w:t>
      </w:r>
      <w:r>
        <w:t xml:space="preserve">engagement:</w:t>
      </w:r>
      <w:r>
        <w:t xml:space="preserve"> </w:t>
      </w:r>
      <w:r>
        <w:rPr>
          <w:bCs/>
          <w:b/>
        </w:rPr>
        <w:t xml:space="preserve">410 hours</w:t>
      </w:r>
      <w:r>
        <w:t xml:space="preserve">.</w:t>
      </w:r>
    </w:p>
    <w:bookmarkEnd w:id="24"/>
    <w:bookmarkStart w:id="25" w:name="rate-structure-and-financial-summary"/>
    <w:p>
      <w:pPr>
        <w:pStyle w:val="Heading2"/>
      </w:pPr>
      <w:r>
        <w:t xml:space="preserve">3. Rate Structure and Financial Summary</w:t>
      </w:r>
    </w:p>
    <w:p>
      <w:pPr>
        <w:pStyle w:val="FirstParagraph"/>
      </w:pPr>
      <w:r>
        <w:t xml:space="preserve">The following rate card applies to this</w:t>
      </w:r>
      <w:r>
        <w:t xml:space="preserve"> </w:t>
      </w:r>
      <w:r>
        <w:t xml:space="preserve">Quotation Estimate</w:t>
      </w:r>
      <w:r>
        <w:t xml:space="preserve"> </w:t>
      </w:r>
      <w:r>
        <w:t xml:space="preserve">for the</w:t>
      </w:r>
      <w:r>
        <w:t xml:space="preserve"> </w:t>
      </w:r>
      <w:r>
        <w:t xml:space="preserve">Data Scientist</w:t>
      </w:r>
      <w:r>
        <w:t xml:space="preserve"> </w:t>
      </w:r>
      <w:r>
        <w:t xml:space="preserve">role based in</w:t>
      </w:r>
      <w:r>
        <w:t xml:space="preserve"> </w:t>
      </w:r>
      <w:r>
        <w:t xml:space="preserve">Israel Tel Aviv</w:t>
      </w:r>
      <w:r>
        <w:t xml:space="preserve">. Rates are expressed in Israeli New Shekels (ILS) and are inclusive of all applicable professional overheads: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Rate (ILS)</w:t>
            </w:r>
          </w:p>
        </w:tc>
        <w:tc>
          <w:tcPr/>
          <w:p>
            <w:pPr>
              <w:pStyle w:val="Compact"/>
              <w:jc w:val="left"/>
            </w:pPr>
            <w:r>
              <w:t xml:space="preserve">Quantity</w:t>
            </w:r>
          </w:p>
        </w:tc>
        <w:tc>
          <w:tcPr/>
          <w:p>
            <w:pPr>
              <w:pStyle w:val="Compact"/>
              <w:jc w:val="left"/>
            </w:pPr>
            <w:r>
              <w:t xml:space="preserve">Amount (ILS)</w:t>
            </w:r>
          </w:p>
        </w:tc>
      </w:tr>
      <w:tr>
        <w:tc>
          <w:tcPr/>
          <w:p>
            <w:pPr>
              <w:pStyle w:val="Compact"/>
              <w:jc w:val="left"/>
            </w:pPr>
            <w:r>
              <w:t xml:space="preserve">Senior Data Scientist – Hourly Rate</w:t>
            </w:r>
          </w:p>
        </w:tc>
        <w:tc>
          <w:tcPr/>
          <w:p>
            <w:pPr>
              <w:pStyle w:val="Compact"/>
              <w:jc w:val="left"/>
            </w:pPr>
            <w:r>
              <w:t xml:space="preserve">1,850</w:t>
            </w:r>
          </w:p>
        </w:tc>
        <w:tc>
          <w:tcPr/>
          <w:p>
            <w:pPr>
              <w:pStyle w:val="Compact"/>
              <w:jc w:val="left"/>
            </w:pPr>
            <w:r>
              <w:t xml:space="preserve">410 hrs</w:t>
            </w:r>
          </w:p>
        </w:tc>
        <w:tc>
          <w:tcPr/>
          <w:p>
            <w:pPr>
              <w:pStyle w:val="Compact"/>
              <w:jc w:val="left"/>
            </w:pPr>
            <w:r>
              <w:t xml:space="preserve">758,500</w:t>
            </w:r>
          </w:p>
        </w:tc>
      </w:tr>
      <w:tr>
        <w:tc>
          <w:tcPr/>
          <w:p>
            <w:pPr>
              <w:pStyle w:val="Compact"/>
              <w:jc w:val="left"/>
            </w:pPr>
            <w:r>
              <w:t xml:space="preserve">Project Management &amp; Coordination (15%)</w:t>
            </w:r>
          </w:p>
        </w:tc>
        <w:tc>
          <w:tcPr/>
          <w:p>
            <w:pPr>
              <w:pStyle w:val="Compact"/>
              <w:jc w:val="left"/>
            </w:pPr>
            <w:r>
              <w:t xml:space="preserve">—</w:t>
            </w:r>
          </w:p>
        </w:tc>
        <w:tc>
          <w:tcPr/>
          <w:p>
            <w:pPr>
              <w:pStyle w:val="Compact"/>
              <w:jc w:val="left"/>
            </w:pPr>
            <w:r>
              <w:t xml:space="preserve">—</w:t>
            </w:r>
          </w:p>
        </w:tc>
        <w:tc>
          <w:tcPr/>
          <w:p>
            <w:pPr>
              <w:pStyle w:val="Compact"/>
              <w:jc w:val="left"/>
            </w:pPr>
            <w:r>
              <w:t xml:space="preserve">113,775</w:t>
            </w:r>
          </w:p>
        </w:tc>
      </w:tr>
      <w:tr>
        <w:tc>
          <w:tcPr/>
          <w:p>
            <w:pPr>
              <w:pStyle w:val="Compact"/>
              <w:jc w:val="left"/>
            </w:pPr>
            <w:r>
              <w:t xml:space="preserve">Cloud Infrastructure &amp; Compute Resources</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Software Licenses &amp; Tooling</w:t>
            </w:r>
          </w:p>
        </w:tc>
        <w:tc>
          <w:tcPr/>
          <w:p>
            <w:pPr>
              <w:pStyle w:val="Compact"/>
              <w:jc w:val="left"/>
            </w:pPr>
            <w:r>
              <w:t xml:space="preserve">—</w:t>
            </w:r>
          </w:p>
        </w:tc>
        <w:tc>
          <w:tcPr/>
          <w:p>
            <w:pPr>
              <w:pStyle w:val="Compact"/>
              <w:jc w:val="left"/>
            </w:pPr>
            <w:r>
              <w:t xml:space="preserve">—</w:t>
            </w:r>
          </w:p>
        </w:tc>
        <w:tc>
          <w:tcPr/>
          <w:p>
            <w:pPr>
              <w:pStyle w:val="Compact"/>
              <w:jc w:val="left"/>
            </w:pPr>
            <w:r>
              <w:t xml:space="preserve">18,500</w:t>
            </w:r>
          </w:p>
        </w:tc>
      </w:tr>
      <w:tr>
        <w:tc>
          <w:tcPr/>
          <w:p>
            <w:pPr>
              <w:pStyle w:val="Compact"/>
              <w:jc w:val="left"/>
            </w:pPr>
            <w:r>
              <w:t xml:space="preserve">Travel &amp; Local Transportation (Tel Aviv)</w:t>
            </w:r>
          </w:p>
        </w:tc>
        <w:tc>
          <w:tcPr/>
          <w:p>
            <w:pPr>
              <w:pStyle w:val="Compact"/>
              <w:jc w:val="left"/>
            </w:pPr>
            <w:r>
              <w:t xml:space="preserve">—</w:t>
            </w:r>
          </w:p>
        </w:tc>
        <w:tc>
          <w:tcPr/>
          <w:p>
            <w:pPr>
              <w:pStyle w:val="Compact"/>
              <w:jc w:val="left"/>
            </w:pPr>
            <w:r>
              <w:t xml:space="preserve">—</w:t>
            </w:r>
          </w:p>
        </w:tc>
        <w:tc>
          <w:tcPr/>
          <w:p>
            <w:pPr>
              <w:pStyle w:val="Compact"/>
              <w:jc w:val="left"/>
            </w:pPr>
            <w:r>
              <w:t xml:space="preserve">7,200</w:t>
            </w:r>
          </w:p>
        </w:tc>
      </w:tr>
      <w:tr>
        <w:tc>
          <w:tcPr/>
          <w:p>
            <w:pPr>
              <w:pStyle w:val="Compact"/>
              <w:jc w:val="left"/>
            </w:pPr>
            <w:r>
              <w:t xml:space="preserve">Subtotal</w:t>
            </w:r>
          </w:p>
        </w:tc>
        <w:tc>
          <w:tcPr/>
          <w:p>
            <w:pPr>
              <w:pStyle w:val="Compact"/>
            </w:pPr>
          </w:p>
        </w:tc>
        <w:tc>
          <w:tcPr/>
          <w:p>
            <w:pPr>
              <w:pStyle w:val="Compact"/>
            </w:pPr>
          </w:p>
        </w:tc>
        <w:tc>
          <w:tcPr/>
          <w:p>
            <w:pPr>
              <w:pStyle w:val="Compact"/>
              <w:jc w:val="left"/>
            </w:pPr>
            <w:r>
              <w:t xml:space="preserve">942,975</w:t>
            </w:r>
          </w:p>
        </w:tc>
      </w:tr>
      <w:tr>
        <w:tc>
          <w:tcPr/>
          <w:p>
            <w:pPr>
              <w:pStyle w:val="Compact"/>
              <w:jc w:val="left"/>
            </w:pPr>
            <w:r>
              <w:t xml:space="preserve">VAT (18%)</w:t>
            </w:r>
          </w:p>
        </w:tc>
        <w:tc>
          <w:tcPr/>
          <w:p>
            <w:pPr>
              <w:pStyle w:val="Compact"/>
            </w:pPr>
          </w:p>
        </w:tc>
        <w:tc>
          <w:tcPr/>
          <w:p>
            <w:pPr>
              <w:pStyle w:val="Compact"/>
            </w:pPr>
          </w:p>
        </w:tc>
        <w:tc>
          <w:tcPr/>
          <w:p>
            <w:pPr>
              <w:pStyle w:val="Compact"/>
              <w:jc w:val="left"/>
            </w:pPr>
            <w:r>
              <w:t xml:space="preserve">169,735.50</w:t>
            </w:r>
          </w:p>
        </w:tc>
      </w:tr>
      <w:tr>
        <w:tc>
          <w:tcPr/>
          <w:p>
            <w:pPr>
              <w:pStyle w:val="Compact"/>
              <w:jc w:val="left"/>
            </w:pPr>
            <w:r>
              <w:t xml:space="preserve">Grand Total (ILS)</w:t>
            </w:r>
          </w:p>
        </w:tc>
        <w:tc>
          <w:tcPr/>
          <w:p>
            <w:pPr>
              <w:pStyle w:val="Compact"/>
            </w:pPr>
          </w:p>
        </w:tc>
        <w:tc>
          <w:tcPr/>
          <w:p>
            <w:pPr>
              <w:pStyle w:val="Compact"/>
            </w:pPr>
          </w:p>
        </w:tc>
        <w:tc>
          <w:tcPr/>
          <w:p>
            <w:pPr>
              <w:pStyle w:val="Compact"/>
              <w:jc w:val="left"/>
            </w:pPr>
            <w:r>
              <w:t xml:space="preserve">1,112,710.50</w:t>
            </w:r>
          </w:p>
        </w:tc>
      </w:tr>
    </w:tbl>
    <w:p>
      <w:pPr>
        <w:pStyle w:val="BodyText"/>
      </w:pPr>
      <w:r>
        <w:t xml:space="preserve">All amounts in this</w:t>
      </w:r>
      <w:r>
        <w:t xml:space="preserve"> </w:t>
      </w:r>
      <w:r>
        <w:t xml:space="preserve">Quotation Estimate</w:t>
      </w:r>
      <w:r>
        <w:t xml:space="preserve"> </w:t>
      </w:r>
      <w:r>
        <w:t xml:space="preserve">are quoted in Israeli New Shekels. The</w:t>
      </w:r>
      <w:r>
        <w:t xml:space="preserve"> </w:t>
      </w:r>
      <w:r>
        <w:t xml:space="preserve">Data Scientist</w:t>
      </w:r>
      <w:r>
        <w:t xml:space="preserve"> </w:t>
      </w:r>
      <w:r>
        <w:t xml:space="preserve">will be engaged under a professional services contract compliant with Israeli labor and tax regulations applicable to the</w:t>
      </w:r>
      <w:r>
        <w:t xml:space="preserve"> </w:t>
      </w:r>
      <w:r>
        <w:t xml:space="preserve">Israel Tel Aviv</w:t>
      </w:r>
      <w:r>
        <w:t xml:space="preserve"> </w:t>
      </w:r>
      <w:r>
        <w:t xml:space="preserve">jurisdiction.</w:t>
      </w:r>
    </w:p>
    <w:bookmarkEnd w:id="25"/>
    <w:bookmarkStart w:id="26" w:name="project-timeline"/>
    <w:p>
      <w:pPr>
        <w:pStyle w:val="Heading2"/>
      </w:pPr>
      <w:r>
        <w:t xml:space="preserve">4. Project Timeline</w:t>
      </w:r>
    </w:p>
    <w:p>
      <w:pPr>
        <w:pStyle w:val="FirstParagraph"/>
      </w:pPr>
      <w:r>
        <w:t xml:space="preserve">The</w:t>
      </w:r>
      <w:r>
        <w:t xml:space="preserve"> </w:t>
      </w:r>
      <w:r>
        <w:t xml:space="preserve">Data Scientist</w:t>
      </w:r>
      <w:r>
        <w:t xml:space="preserve"> </w:t>
      </w:r>
      <w:r>
        <w:t xml:space="preserve">engagement is projected to span approximately</w:t>
      </w:r>
      <w:r>
        <w:t xml:space="preserve"> </w:t>
      </w:r>
      <w:r>
        <w:rPr>
          <w:bCs/>
          <w:b/>
        </w:rPr>
        <w:t xml:space="preserve">12 weeks</w:t>
      </w:r>
      <w:r>
        <w:t xml:space="preserve"> </w:t>
      </w:r>
      <w:r>
        <w:t xml:space="preserve">from the date of contract execution. The</w:t>
      </w:r>
      <w:r>
        <w:t xml:space="preserve"> </w:t>
      </w:r>
      <w:r>
        <w:t xml:space="preserve">Quotation Estimate</w:t>
      </w:r>
      <w:r>
        <w:t xml:space="preserve"> </w:t>
      </w:r>
      <w:r>
        <w:t xml:space="preserve">assumes a standard work schedule of 40 hours per week, Monday through Friday, consistent with standard business practices in</w:t>
      </w:r>
      <w:r>
        <w:t xml:space="preserve"> </w:t>
      </w:r>
      <w:r>
        <w:t xml:space="preserve">Israel Tel Aviv</w:t>
      </w:r>
      <w:r>
        <w:t xml:space="preserve">. Milestone-based deliverables will be reviewed bi-weekly with the client's project sponsor.</w:t>
      </w:r>
    </w:p>
    <w:bookmarkEnd w:id="26"/>
    <w:bookmarkStart w:id="27" w:name="terms-and-conditions"/>
    <w:p>
      <w:pPr>
        <w:pStyle w:val="Heading2"/>
      </w:pPr>
      <w:r>
        <w:t xml:space="preserve">5. Terms and Conditions</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rates and availability of the</w:t>
      </w:r>
      <w:r>
        <w:t xml:space="preserve"> </w:t>
      </w:r>
      <w:r>
        <w:t xml:space="preserve">Data Scientist</w:t>
      </w:r>
      <w:r>
        <w:t xml:space="preserve"> </w:t>
      </w:r>
      <w:r>
        <w:t xml:space="preserve">may be subject to revision based on market conditions in</w:t>
      </w:r>
      <w:r>
        <w:t xml:space="preserve"> </w:t>
      </w:r>
      <w:r>
        <w:t xml:space="preserve">Israel Tel Aviv</w:t>
      </w:r>
      <w:r>
        <w:t xml:space="preserve">.</w:t>
      </w:r>
    </w:p>
    <w:p>
      <w:pPr>
        <w:pStyle w:val="BodyText"/>
      </w:pPr>
      <w:r>
        <w:rPr>
          <w:bCs/>
          <w:b/>
        </w:rPr>
        <w:t xml:space="preserve">5.2 Payment Terms:</w:t>
      </w:r>
      <w:r>
        <w:t xml:space="preserve"> </w:t>
      </w:r>
      <w:r>
        <w:t xml:space="preserve">Payment is due within thirty (30) days of invoice issuance. Invoices will be issued monthly in arrears. A 1.5% monthly late-payment interest rate applies in accordance with Israeli commercial law.</w:t>
      </w:r>
    </w:p>
    <w:p>
      <w:pPr>
        <w:pStyle w:val="BodyText"/>
      </w:pPr>
      <w:r>
        <w:rPr>
          <w:bCs/>
          <w:b/>
        </w:rPr>
        <w:t xml:space="preserve">5.3 Intellectual Property:</w:t>
      </w:r>
      <w:r>
        <w:t xml:space="preserve"> </w:t>
      </w:r>
      <w:r>
        <w:t xml:space="preserve">All models, code, documentation, and analytical artifacts produced by the</w:t>
      </w:r>
      <w:r>
        <w:t xml:space="preserve"> </w:t>
      </w:r>
      <w:r>
        <w:t xml:space="preserve">Data Scientist</w:t>
      </w:r>
      <w:r>
        <w:t xml:space="preserve"> </w:t>
      </w:r>
      <w:r>
        <w:t xml:space="preserve">during the engagement shall become the exclusive property of the client upon full payment, as stipulated in the master services agreement.</w:t>
      </w:r>
    </w:p>
    <w:p>
      <w:pPr>
        <w:pStyle w:val="BodyText"/>
      </w:pPr>
      <w:r>
        <w:rPr>
          <w:bCs/>
          <w:b/>
        </w:rPr>
        <w:t xml:space="preserve">5.4 Confidentiality:</w:t>
      </w:r>
      <w:r>
        <w:t xml:space="preserve"> </w:t>
      </w:r>
      <w:r>
        <w:t xml:space="preserve">Both parties agree to maintain strict confidentiality of all proprietary data, algorithms, and business strategies. This obligation survives the termination of the engagement for a period of three (3) years.</w:t>
      </w:r>
    </w:p>
    <w:p>
      <w:pPr>
        <w:pStyle w:val="BodyText"/>
      </w:pPr>
      <w:r>
        <w:rPr>
          <w:bCs/>
          <w:b/>
        </w:rPr>
        <w:t xml:space="preserve">5.5 Termination:</w:t>
      </w:r>
      <w:r>
        <w:t xml:space="preserve"> </w:t>
      </w:r>
      <w:r>
        <w:t xml:space="preserve">Either party may terminate the engagement with fourteen (14) days' written notice. In such an event, the client shall be invoiced for all services rendered up to the termination date as reflected in this</w:t>
      </w:r>
      <w:r>
        <w:t xml:space="preserve"> </w:t>
      </w:r>
      <w:r>
        <w:t xml:space="preserve">Quotation Estimate</w:t>
      </w:r>
      <w:r>
        <w:t xml:space="preserve">.</w:t>
      </w:r>
    </w:p>
    <w:p>
      <w:pPr>
        <w:pStyle w:val="BodyText"/>
      </w:pPr>
      <w:r>
        <w:rPr>
          <w:bCs/>
          <w:b/>
        </w:rPr>
        <w:t xml:space="preserve">5.6 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State of Israel, with jurisdiction vested in the courts of</w:t>
      </w:r>
      <w:r>
        <w:t xml:space="preserve"> </w:t>
      </w:r>
      <w:r>
        <w:t xml:space="preserve">Israel Tel Aviv</w:t>
      </w:r>
      <w:r>
        <w:t xml:space="preserve">.</w:t>
      </w:r>
    </w:p>
    <w:p>
      <w:pPr>
        <w:pStyle w:val="BodyText"/>
      </w:pPr>
      <w:r>
        <w:rPr>
          <w:bCs/>
          <w:b/>
        </w:rPr>
        <w:t xml:space="preserve">5.7 Force Majeure:</w:t>
      </w:r>
      <w:r>
        <w:t xml:space="preserve"> </w:t>
      </w:r>
      <w:r>
        <w:t xml:space="preserve">Neither party shall be liable for delays caused by events beyond reasonable control, including but not limited to natural disasters, government-mandated closures, or systemic infrastructure failures affecting the</w:t>
      </w:r>
      <w:r>
        <w:t xml:space="preserve"> </w:t>
      </w:r>
      <w:r>
        <w:t xml:space="preserve">Israel Tel Aviv</w:t>
      </w:r>
      <w:r>
        <w:t xml:space="preserve"> </w:t>
      </w:r>
      <w:r>
        <w:t xml:space="preserve">region.</w:t>
      </w:r>
    </w:p>
    <w:bookmarkEnd w:id="27"/>
    <w:bookmarkStart w:id="28"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Data Scientist</w:t>
      </w:r>
      <w:r>
        <w:t xml:space="preserve"> </w:t>
      </w:r>
      <w:r>
        <w:t xml:space="preserve">in</w:t>
      </w:r>
      <w:r>
        <w:t xml:space="preserve"> </w:t>
      </w:r>
      <w:r>
        <w:t xml:space="preserve">Israel Tel Aviv</w:t>
      </w:r>
      <w:r>
        <w:t xml:space="preserve">. Upon acceptance, a formal Master Services Agreement (MSA) and Statement of Work (SOW) will be executed within five (5) business days.</w:t>
      </w:r>
    </w:p>
    <w:bookmarkEnd w:id="28"/>
    <w:p>
      <w:pPr>
        <w:pStyle w:val="BodyText"/>
      </w:pPr>
      <w:r>
        <w:t xml:space="preserve">For Meridian Analytics Solutions Ltd.</w:t>
      </w:r>
      <w:r>
        <w:br/>
      </w:r>
      <w:r>
        <w:t xml:space="preserve">Authorized Signatory / Date</w:t>
      </w:r>
    </w:p>
    <w:p>
      <w:pPr>
        <w:pStyle w:val="BodyText"/>
      </w:pPr>
      <w:r>
        <w:t xml:space="preserve">For [Client Company Name]</w:t>
      </w:r>
      <w:r>
        <w:br/>
      </w:r>
      <w:r>
        <w:t xml:space="preserve">Authorized Signatory / Date</w:t>
      </w:r>
    </w:p>
    <w:p>
      <w:pPr>
        <w:pStyle w:val="BodyText"/>
      </w:pPr>
      <w:r>
        <w:t xml:space="preserve">Quotation Estimate No. QE-2025-TLV-0487 | Data Scientist Engagement | Israel Tel Aviv</w:t>
      </w:r>
    </w:p>
    <w:p>
      <w:pPr>
        <w:pStyle w:val="BodyText"/>
      </w:pPr>
      <w:r>
        <w:t xml:space="preserve">Meridian Analytics Solutions Ltd. | 120 Allenby Street, Tel Aviv-Yafo, Israel | +972-3-555-0142</w:t>
      </w:r>
    </w:p>
    <w:p>
      <w:pPr>
        <w:pStyle w:val="BodyText"/>
      </w:pPr>
      <w:r>
        <w:t xml:space="preserve">This document is confidential and intended solely for the named recipient.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Israel Tel Aviv</dc:title>
  <dc:creator/>
  <dc:language>en</dc:language>
  <cp:keywords/>
  <dcterms:created xsi:type="dcterms:W3CDTF">2026-10-10T02:14:06Z</dcterms:created>
  <dcterms:modified xsi:type="dcterms:W3CDTF">2026-10-10T02:14:06Z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