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Japan</w:t>
      </w:r>
      <w:r>
        <w:t xml:space="preserve"> </w:t>
      </w:r>
      <w:r>
        <w:t xml:space="preserve">Kyoto</w:t>
      </w:r>
    </w:p>
    <w:bookmarkStart w:id="20" w:name="quotation-estimate"/>
    <w:p>
      <w:pPr>
        <w:pStyle w:val="Heading1"/>
      </w:pPr>
      <w:r>
        <w:t xml:space="preserve">Quotation Estimate</w:t>
      </w:r>
    </w:p>
    <w:p>
      <w:pPr>
        <w:pStyle w:val="FirstParagraph"/>
      </w:pPr>
      <w:r>
        <w:t xml:space="preserve">Professional Data Scientist Services — Japan Kyoto</w:t>
      </w:r>
    </w:p>
    <w:p>
      <w:pPr>
        <w:pStyle w:val="BodyText"/>
      </w:pPr>
      <w:r>
        <w:t xml:space="preserve">Document Reference: QE-DS-KYO-2025-0047</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For:</w:t>
            </w:r>
          </w:p>
        </w:tc>
        <w:tc>
          <w:tcPr/>
          <w:p>
            <w:pPr>
              <w:pStyle w:val="Compact"/>
              <w:jc w:val="left"/>
            </w:pPr>
            <w:r>
              <w:t xml:space="preserve">Client Name / Organization (Japan Kyoto)</w:t>
            </w:r>
          </w:p>
        </w:tc>
      </w:tr>
      <w:tr>
        <w:tc>
          <w:tcPr/>
          <w:p>
            <w:pPr>
              <w:pStyle w:val="Compact"/>
              <w:jc w:val="left"/>
            </w:pPr>
            <w:r>
              <w:t xml:space="preserve">Prepared By:</w:t>
            </w:r>
          </w:p>
        </w:tc>
        <w:tc>
          <w:tcPr/>
          <w:p>
            <w:pPr>
              <w:pStyle w:val="Compact"/>
              <w:jc w:val="left"/>
            </w:pPr>
            <w:r>
              <w:t xml:space="preserve">Apex Analytics Consulting K.K., Kyoto, Japan</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 (30 days from date of issue)</w:t>
            </w:r>
          </w:p>
        </w:tc>
      </w:tr>
      <w:tr>
        <w:tc>
          <w:tcPr/>
          <w:p>
            <w:pPr>
              <w:pStyle w:val="Compact"/>
              <w:jc w:val="left"/>
            </w:pPr>
            <w:r>
              <w:t xml:space="preserve">Project Location:</w:t>
            </w:r>
          </w:p>
        </w:tc>
        <w:tc>
          <w:tcPr/>
          <w:p>
            <w:pPr>
              <w:pStyle w:val="Compact"/>
              <w:jc w:val="left"/>
            </w:pPr>
            <w:r>
              <w:t xml:space="preserve">Kyoto, Japan — On-site and Remote Hybrid</w:t>
            </w:r>
          </w:p>
        </w:tc>
      </w:tr>
      <w:tr>
        <w:tc>
          <w:tcPr/>
          <w:p>
            <w:pPr>
              <w:pStyle w:val="Compact"/>
              <w:jc w:val="left"/>
            </w:pPr>
            <w:r>
              <w:t xml:space="preserve">Service Category:</w:t>
            </w:r>
          </w:p>
        </w:tc>
        <w:tc>
          <w:tcPr/>
          <w:p>
            <w:pPr>
              <w:pStyle w:val="Compact"/>
              <w:jc w:val="left"/>
            </w:pPr>
            <w:r>
              <w:t xml:space="preserve">Data Scientist Engagement — Full-Spectrum Analytics</w:t>
            </w:r>
          </w:p>
        </w:tc>
      </w:tr>
    </w:tbl>
    <w:bookmarkStart w:id="21" w:name="executive-summary"/>
    <w:p>
      <w:pPr>
        <w:pStyle w:val="Heading2"/>
      </w:pPr>
      <w:r>
        <w:t xml:space="preserve">1. Executive Summary</w:t>
      </w:r>
    </w:p>
    <w:p>
      <w:pPr>
        <w:pStyle w:val="FirstParagraph"/>
      </w:pPr>
      <w:r>
        <w:t xml:space="preserve">This Quotation Estimate is issued by Apex Analytics Consulting K.K. to provide a comprehensive and transparent cost breakdown for the engagement of a senior Data Scientist to support the client's data-driven transformation initiatives in Japan Kyoto. This Quotation Estimate covers all professional services, tooling, infrastructure access, and project management overhead associated with deploying a qualified Data Scientist within the Japan Kyoto metropolitan area for a period of twelve (12) months. The Data Scientist will be embedded within the client's existing team structure, operating primarily from the Japan Kyoto office while maintaining remote collaboration capabilities as needed.</w:t>
      </w:r>
    </w:p>
    <w:bookmarkEnd w:id="21"/>
    <w:bookmarkStart w:id="22" w:name="scope-of-work"/>
    <w:p>
      <w:pPr>
        <w:pStyle w:val="Heading2"/>
      </w:pPr>
      <w:r>
        <w:t xml:space="preserve">2. Scope of Work</w:t>
      </w:r>
    </w:p>
    <w:p>
      <w:pPr>
        <w:pStyle w:val="FirstParagraph"/>
      </w:pPr>
      <w:r>
        <w:t xml:space="preserve">The Data Scientist engagement outlined in this Quotation Estimate encompasses the following core responsibilities and deliverables:</w:t>
      </w:r>
    </w:p>
    <w:p>
      <w:pPr>
        <w:numPr>
          <w:ilvl w:val="0"/>
          <w:numId w:val="1001"/>
        </w:numPr>
        <w:pStyle w:val="Compact"/>
      </w:pPr>
      <w:r>
        <w:rPr>
          <w:bCs/>
          <w:b/>
        </w:rPr>
        <w:t xml:space="preserve">Data Acquisition &amp; Engineering:</w:t>
      </w:r>
      <w:r>
        <w:t xml:space="preserve"> </w:t>
      </w:r>
      <w:r>
        <w:t xml:space="preserve">Designing and implementing robust data pipelines to ingest, clean, and transform structured and unstructured data sources relevant to the client's operations in Japan Kyoto.</w:t>
      </w:r>
    </w:p>
    <w:p>
      <w:pPr>
        <w:numPr>
          <w:ilvl w:val="0"/>
          <w:numId w:val="1001"/>
        </w:numPr>
        <w:pStyle w:val="Compact"/>
      </w:pPr>
      <w:r>
        <w:rPr>
          <w:bCs/>
          <w:b/>
        </w:rPr>
        <w:t xml:space="preserve">Exploratory Data Analysis (EDA):</w:t>
      </w:r>
      <w:r>
        <w:t xml:space="preserve"> </w:t>
      </w:r>
      <w:r>
        <w:t xml:space="preserve">Conducting in-depth statistical analysis, visualization, and pattern recognition to uncover actionable business insights specific to the Japan Kyoto market context.</w:t>
      </w:r>
    </w:p>
    <w:p>
      <w:pPr>
        <w:numPr>
          <w:ilvl w:val="0"/>
          <w:numId w:val="1001"/>
        </w:numPr>
        <w:pStyle w:val="Compact"/>
      </w:pPr>
      <w:r>
        <w:rPr>
          <w:bCs/>
          <w:b/>
        </w:rPr>
        <w:t xml:space="preserve">Predictive Modeling &amp; Machine Learning:</w:t>
      </w:r>
      <w:r>
        <w:t xml:space="preserve"> </w:t>
      </w:r>
      <w:r>
        <w:t xml:space="preserve">Developing, training, validating, and deploying machine learning models for forecasting, classification, anomaly detection, and optimization tasks.</w:t>
      </w:r>
    </w:p>
    <w:p>
      <w:pPr>
        <w:numPr>
          <w:ilvl w:val="0"/>
          <w:numId w:val="1001"/>
        </w:numPr>
        <w:pStyle w:val="Compact"/>
      </w:pPr>
      <w:r>
        <w:rPr>
          <w:bCs/>
          <w:b/>
        </w:rPr>
        <w:t xml:space="preserve">Natural Language Processing (NLP):</w:t>
      </w:r>
      <w:r>
        <w:t xml:space="preserve"> </w:t>
      </w:r>
      <w:r>
        <w:t xml:space="preserve">Building NLP solutions tailored to Japanese-language corpora, including sentiment analysis, entity extraction, and automated summarization for documents generated in Japan Kyoto.</w:t>
      </w:r>
    </w:p>
    <w:p>
      <w:pPr>
        <w:numPr>
          <w:ilvl w:val="0"/>
          <w:numId w:val="1001"/>
        </w:numPr>
        <w:pStyle w:val="Compact"/>
      </w:pPr>
      <w:r>
        <w:rPr>
          <w:bCs/>
          <w:b/>
        </w:rPr>
        <w:t xml:space="preserve">Dashboard &amp; Reporting:</w:t>
      </w:r>
      <w:r>
        <w:t xml:space="preserve"> </w:t>
      </w:r>
      <w:r>
        <w:t xml:space="preserve">Creating interactive dashboards and automated reporting systems using tools such as Tableau, Power BI, or custom Python-based interfaces.</w:t>
      </w:r>
    </w:p>
    <w:p>
      <w:pPr>
        <w:numPr>
          <w:ilvl w:val="0"/>
          <w:numId w:val="1001"/>
        </w:numPr>
        <w:pStyle w:val="Compact"/>
      </w:pPr>
      <w:r>
        <w:rPr>
          <w:bCs/>
          <w:b/>
        </w:rPr>
        <w:t xml:space="preserve">Stakeholder Communication:</w:t>
      </w:r>
      <w:r>
        <w:t xml:space="preserve"> </w:t>
      </w:r>
      <w:r>
        <w:t xml:space="preserve">Presenting findings and model interpretations to executive leadership and cross-functional teams based in Japan Kyoto in both English and Japanese.</w:t>
      </w:r>
    </w:p>
    <w:p>
      <w:pPr>
        <w:numPr>
          <w:ilvl w:val="0"/>
          <w:numId w:val="1001"/>
        </w:numPr>
        <w:pStyle w:val="Compact"/>
      </w:pPr>
      <w:r>
        <w:rPr>
          <w:bCs/>
          <w:b/>
        </w:rPr>
        <w:t xml:space="preserve">Knowledge Transfer:</w:t>
      </w:r>
      <w:r>
        <w:t xml:space="preserve"> </w:t>
      </w:r>
      <w:r>
        <w:t xml:space="preserve">Conducting training sessions and documentation to ensure the client's internal team in Japan Kyoto can sustain and extend the Data Scientist's work post-engagement.</w:t>
      </w:r>
    </w:p>
    <w:bookmarkEnd w:id="22"/>
    <w:bookmarkStart w:id="23" w:name="data-scientist-profile-qualifications"/>
    <w:p>
      <w:pPr>
        <w:pStyle w:val="Heading2"/>
      </w:pPr>
      <w:r>
        <w:t xml:space="preserve">3. Data Scientist Profile &amp; Qualifications</w:t>
      </w:r>
    </w:p>
    <w:p>
      <w:pPr>
        <w:pStyle w:val="FirstParagraph"/>
      </w:pPr>
      <w:r>
        <w:t xml:space="preserve">The Data Scientist proposed under this Quotation Estimate will possess a minimum of seven (7) years of professional experience in data science, machine learning, and statistical modeling. The candidate will hold a Master's degree or Ph.D. in a relevant field (Computer Science, Statistics, Applied Mathematics, or Data Science) and will demonstrate fluency in Python, R, SQL, and at least one major machine learning framework (TensorFlow, PyTorch, or scikit-learn). Given the Japan Kyoto operational context, the Data Scientist will be required to have working proficiency in Japanese (JLPT N2 or above) to facilitate seamless communication with local stakeholders, government data portals, and regional partners in Japan Kyoto.</w:t>
      </w:r>
    </w:p>
    <w:bookmarkEnd w:id="23"/>
    <w:bookmarkStart w:id="24" w:name="quotation-estimate-cost-breakdown"/>
    <w:p>
      <w:pPr>
        <w:pStyle w:val="Heading2"/>
      </w:pPr>
      <w:r>
        <w:t xml:space="preserve">4. Quotation Estimate — Cost Breakdown</w:t>
      </w:r>
    </w:p>
    <w:p>
      <w:pPr>
        <w:pStyle w:val="FirstParagraph"/>
      </w:pPr>
      <w:r>
        <w:t xml:space="preserve">The following table presents the detailed Quotation Estimate for the Data Scientist engagement in Japan Kyoto. All figures are quoted in Japanese Yen (JPY) unless otherwise stated.</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Cost (JPY)</w:t>
            </w:r>
          </w:p>
        </w:tc>
      </w:tr>
      <w:tr>
        <w:tc>
          <w:tcPr/>
          <w:p>
            <w:pPr>
              <w:pStyle w:val="Compact"/>
              <w:jc w:val="left"/>
            </w:pPr>
            <w:r>
              <w:t xml:space="preserve">1</w:t>
            </w:r>
          </w:p>
        </w:tc>
        <w:tc>
          <w:tcPr/>
          <w:p>
            <w:pPr>
              <w:pStyle w:val="Compact"/>
              <w:jc w:val="left"/>
            </w:pPr>
            <w:r>
              <w:t xml:space="preserve">Data Scientist Monthly Retainer (Senior Level)</w:t>
            </w:r>
          </w:p>
        </w:tc>
        <w:tc>
          <w:tcPr/>
          <w:p>
            <w:pPr>
              <w:pStyle w:val="Compact"/>
              <w:jc w:val="left"/>
            </w:pPr>
            <w:r>
              <w:t xml:space="preserve">12 months</w:t>
            </w:r>
          </w:p>
        </w:tc>
        <w:tc>
          <w:tcPr/>
          <w:p>
            <w:pPr>
              <w:pStyle w:val="Compact"/>
              <w:jc w:val="left"/>
            </w:pPr>
            <w:r>
              <w:t xml:space="preserve">1,440,000,000</w:t>
            </w:r>
          </w:p>
        </w:tc>
      </w:tr>
      <w:tr>
        <w:tc>
          <w:tcPr/>
          <w:p>
            <w:pPr>
              <w:pStyle w:val="Compact"/>
              <w:jc w:val="left"/>
            </w:pPr>
            <w:r>
              <w:t xml:space="preserve">2</w:t>
            </w:r>
          </w:p>
        </w:tc>
        <w:tc>
          <w:tcPr/>
          <w:p>
            <w:pPr>
              <w:pStyle w:val="Compact"/>
              <w:jc w:val="left"/>
            </w:pPr>
            <w:r>
              <w:t xml:space="preserve">Cloud Infrastructure &amp; Compute Resources (AWS Tokyo Region)</w:t>
            </w:r>
          </w:p>
        </w:tc>
        <w:tc>
          <w:tcPr/>
          <w:p>
            <w:pPr>
              <w:pStyle w:val="Compact"/>
              <w:jc w:val="left"/>
            </w:pPr>
            <w:r>
              <w:t xml:space="preserve">12 months</w:t>
            </w:r>
          </w:p>
        </w:tc>
        <w:tc>
          <w:tcPr/>
          <w:p>
            <w:pPr>
              <w:pStyle w:val="Compact"/>
              <w:jc w:val="left"/>
            </w:pPr>
            <w:r>
              <w:t xml:space="preserve">96,000,000</w:t>
            </w:r>
          </w:p>
        </w:tc>
      </w:tr>
      <w:tr>
        <w:tc>
          <w:tcPr/>
          <w:p>
            <w:pPr>
              <w:pStyle w:val="Compact"/>
              <w:jc w:val="left"/>
            </w:pPr>
            <w:r>
              <w:t xml:space="preserve">3</w:t>
            </w:r>
          </w:p>
        </w:tc>
        <w:tc>
          <w:tcPr/>
          <w:p>
            <w:pPr>
              <w:pStyle w:val="Compact"/>
              <w:jc w:val="left"/>
            </w:pPr>
            <w:r>
              <w:t xml:space="preserve">Software Licenses (Tableau, Databricks, JupyterHub)</w:t>
            </w:r>
          </w:p>
        </w:tc>
        <w:tc>
          <w:tcPr/>
          <w:p>
            <w:pPr>
              <w:pStyle w:val="Compact"/>
              <w:jc w:val="left"/>
            </w:pPr>
            <w:r>
              <w:t xml:space="preserve">12 months</w:t>
            </w:r>
          </w:p>
        </w:tc>
        <w:tc>
          <w:tcPr/>
          <w:p>
            <w:pPr>
              <w:pStyle w:val="Compact"/>
              <w:jc w:val="left"/>
            </w:pPr>
            <w:r>
              <w:t xml:space="preserve">48,000,000</w:t>
            </w:r>
          </w:p>
        </w:tc>
      </w:tr>
      <w:tr>
        <w:tc>
          <w:tcPr/>
          <w:p>
            <w:pPr>
              <w:pStyle w:val="Compact"/>
              <w:jc w:val="left"/>
            </w:pPr>
            <w:r>
              <w:t xml:space="preserve">4</w:t>
            </w:r>
          </w:p>
        </w:tc>
        <w:tc>
          <w:tcPr/>
          <w:p>
            <w:pPr>
              <w:pStyle w:val="Compact"/>
              <w:jc w:val="left"/>
            </w:pPr>
            <w:r>
              <w:t xml:space="preserve">Japan Kyoto Office Space &amp; Equipment Allocation</w:t>
            </w:r>
          </w:p>
        </w:tc>
        <w:tc>
          <w:tcPr/>
          <w:p>
            <w:pPr>
              <w:pStyle w:val="Compact"/>
              <w:jc w:val="left"/>
            </w:pPr>
            <w:r>
              <w:t xml:space="preserve">12 months</w:t>
            </w:r>
          </w:p>
        </w:tc>
        <w:tc>
          <w:tcPr/>
          <w:p>
            <w:pPr>
              <w:pStyle w:val="Compact"/>
              <w:jc w:val="left"/>
            </w:pPr>
            <w:r>
              <w:t xml:space="preserve">36,000,000</w:t>
            </w:r>
          </w:p>
        </w:tc>
      </w:tr>
      <w:tr>
        <w:tc>
          <w:tcPr/>
          <w:p>
            <w:pPr>
              <w:pStyle w:val="Compact"/>
              <w:jc w:val="left"/>
            </w:pPr>
            <w:r>
              <w:t xml:space="preserve">5</w:t>
            </w:r>
          </w:p>
        </w:tc>
        <w:tc>
          <w:tcPr/>
          <w:p>
            <w:pPr>
              <w:pStyle w:val="Compact"/>
              <w:jc w:val="left"/>
            </w:pPr>
            <w:r>
              <w:t xml:space="preserve">Project Management &amp; Coordination Overhead</w:t>
            </w:r>
          </w:p>
        </w:tc>
        <w:tc>
          <w:tcPr/>
          <w:p>
            <w:pPr>
              <w:pStyle w:val="Compact"/>
              <w:jc w:val="left"/>
            </w:pPr>
            <w:r>
              <w:t xml:space="preserve">12 months</w:t>
            </w:r>
          </w:p>
        </w:tc>
        <w:tc>
          <w:tcPr/>
          <w:p>
            <w:pPr>
              <w:pStyle w:val="Compact"/>
              <w:jc w:val="left"/>
            </w:pPr>
            <w:r>
              <w:t xml:space="preserve">72,000,000</w:t>
            </w:r>
          </w:p>
        </w:tc>
      </w:tr>
      <w:tr>
        <w:tc>
          <w:tcPr/>
          <w:p>
            <w:pPr>
              <w:pStyle w:val="Compact"/>
              <w:jc w:val="left"/>
            </w:pPr>
            <w:r>
              <w:t xml:space="preserve">6</w:t>
            </w:r>
          </w:p>
        </w:tc>
        <w:tc>
          <w:tcPr/>
          <w:p>
            <w:pPr>
              <w:pStyle w:val="Compact"/>
              <w:jc w:val="left"/>
            </w:pPr>
            <w:r>
              <w:t xml:space="preserve">Knowledge Transfer &amp; Training Sessions (4 sessions)</w:t>
            </w:r>
          </w:p>
        </w:tc>
        <w:tc>
          <w:tcPr/>
          <w:p>
            <w:pPr>
              <w:pStyle w:val="Compact"/>
              <w:jc w:val="left"/>
            </w:pPr>
            <w:r>
              <w:t xml:space="preserve">One-time</w:t>
            </w:r>
          </w:p>
        </w:tc>
        <w:tc>
          <w:tcPr/>
          <w:p>
            <w:pPr>
              <w:pStyle w:val="Compact"/>
              <w:jc w:val="left"/>
            </w:pPr>
            <w:r>
              <w:t xml:space="preserve">24,000,000</w:t>
            </w:r>
          </w:p>
        </w:tc>
      </w:tr>
      <w:tr>
        <w:tc>
          <w:tcPr/>
          <w:p>
            <w:pPr>
              <w:pStyle w:val="Compact"/>
              <w:jc w:val="left"/>
            </w:pPr>
            <w:r>
              <w:t xml:space="preserve">7</w:t>
            </w:r>
          </w:p>
        </w:tc>
        <w:tc>
          <w:tcPr/>
          <w:p>
            <w:pPr>
              <w:pStyle w:val="Compact"/>
              <w:jc w:val="left"/>
            </w:pPr>
            <w:r>
              <w:t xml:space="preserve">Documentation &amp; Final Deliverable Packaging</w:t>
            </w:r>
          </w:p>
        </w:tc>
        <w:tc>
          <w:tcPr/>
          <w:p>
            <w:pPr>
              <w:pStyle w:val="Compact"/>
              <w:jc w:val="left"/>
            </w:pPr>
            <w:r>
              <w:t xml:space="preserve">One-time</w:t>
            </w:r>
          </w:p>
        </w:tc>
        <w:tc>
          <w:tcPr/>
          <w:p>
            <w:pPr>
              <w:pStyle w:val="Compact"/>
              <w:jc w:val="left"/>
            </w:pPr>
            <w:r>
              <w:t xml:space="preserve">12,000,000</w:t>
            </w:r>
          </w:p>
        </w:tc>
      </w:tr>
      <w:tr>
        <w:tc>
          <w:tcPr>
            <w:gridSpan w:val="3"/>
          </w:tcPr>
          <w:p>
            <w:pPr>
              <w:pStyle w:val="Compact"/>
              <w:jc w:val="left"/>
            </w:pPr>
            <w:r>
              <w:t xml:space="preserve">Total Quotation Estimate (Before Tax)</w:t>
            </w:r>
          </w:p>
        </w:tc>
        <w:tc>
          <w:tcPr/>
          <w:p>
            <w:pPr>
              <w:pStyle w:val="Compact"/>
              <w:jc w:val="left"/>
            </w:pPr>
            <w:r>
              <w:t xml:space="preserve">1,728,000,000</w:t>
            </w:r>
          </w:p>
        </w:tc>
      </w:tr>
      <w:tr>
        <w:tc>
          <w:tcPr>
            <w:gridSpan w:val="3"/>
          </w:tcPr>
          <w:p>
            <w:pPr>
              <w:pStyle w:val="Compact"/>
              <w:jc w:val="left"/>
            </w:pPr>
            <w:r>
              <w:t xml:space="preserve">Consumption Tax (10%)</w:t>
            </w:r>
          </w:p>
        </w:tc>
        <w:tc>
          <w:tcPr/>
          <w:p>
            <w:pPr>
              <w:pStyle w:val="Compact"/>
              <w:jc w:val="left"/>
            </w:pPr>
            <w:r>
              <w:t xml:space="preserve">172,800,000</w:t>
            </w:r>
          </w:p>
        </w:tc>
      </w:tr>
      <w:tr>
        <w:tc>
          <w:tcPr>
            <w:gridSpan w:val="3"/>
          </w:tcPr>
          <w:p>
            <w:pPr>
              <w:pStyle w:val="Compact"/>
              <w:jc w:val="left"/>
            </w:pPr>
            <w:r>
              <w:t xml:space="preserve">Grand Total (Tax Inclusive)</w:t>
            </w:r>
          </w:p>
        </w:tc>
        <w:tc>
          <w:tcPr/>
          <w:p>
            <w:pPr>
              <w:pStyle w:val="Compact"/>
              <w:jc w:val="left"/>
            </w:pPr>
            <w:r>
              <w:t xml:space="preserve">1,900,800,000</w:t>
            </w:r>
          </w:p>
        </w:tc>
      </w:tr>
    </w:tbl>
    <w:bookmarkEnd w:id="24"/>
    <w:bookmarkStart w:id="25" w:name="payment-terms"/>
    <w:p>
      <w:pPr>
        <w:pStyle w:val="Heading2"/>
      </w:pPr>
      <w:r>
        <w:t xml:space="preserve">5. Payment Terms</w:t>
      </w:r>
    </w:p>
    <w:p>
      <w:pPr>
        <w:pStyle w:val="FirstParagraph"/>
      </w:pPr>
      <w:r>
        <w:t xml:space="preserve">As specified in this Quotation Estimate, payment shall be structured as follows: an initial mobilization payment of 20% upon contract execution, followed by monthly invoices issued on the 5th business day of each month for the Data Scientist retainer and recurring operational costs. The final 10% retention shall be released upon successful completion of all deliverables and acceptance by the client's Japan Kyoto project sponsor. All payments shall be made via bank transfer to the account designated by Apex Analytics Consulting K.K. in Japan Kyoto.</w:t>
      </w:r>
    </w:p>
    <w:bookmarkEnd w:id="25"/>
    <w:bookmarkStart w:id="26" w:name="terms-conditions"/>
    <w:p>
      <w:pPr>
        <w:pStyle w:val="Heading2"/>
      </w:pPr>
      <w:r>
        <w:t xml:space="preserve">6. Terms &amp; Conditions</w:t>
      </w:r>
    </w:p>
    <w:p>
      <w:pPr>
        <w:numPr>
          <w:ilvl w:val="0"/>
          <w:numId w:val="1002"/>
        </w:numPr>
        <w:pStyle w:val="Compact"/>
      </w:pPr>
      <w:r>
        <w:t xml:space="preserve">This Quotation Estimate is valid for thirty (30) calendar days from the date of issue. Beyond this period, pricing for the Data Scientist engagement and associated resources in Japan Kyoto may be subject to revision.</w:t>
      </w:r>
    </w:p>
    <w:p>
      <w:pPr>
        <w:numPr>
          <w:ilvl w:val="0"/>
          <w:numId w:val="1002"/>
        </w:numPr>
        <w:pStyle w:val="Compact"/>
      </w:pPr>
      <w:r>
        <w:t xml:space="preserve">The Data Scientist shall adhere to all data privacy regulations applicable in Japan, including the Act on the Protection of Personal Information (APPI) and any sector-specific guidelines relevant to the client's industry.</w:t>
      </w:r>
    </w:p>
    <w:p>
      <w:pPr>
        <w:numPr>
          <w:ilvl w:val="0"/>
          <w:numId w:val="1002"/>
        </w:numPr>
        <w:pStyle w:val="Compact"/>
      </w:pPr>
      <w:r>
        <w:t xml:space="preserve">Intellectual property generated during the engagement, including models, code, and analytical frameworks developed by the Data Scientist, shall be the sole property of the client upon full payment.</w:t>
      </w:r>
    </w:p>
    <w:p>
      <w:pPr>
        <w:numPr>
          <w:ilvl w:val="0"/>
          <w:numId w:val="1002"/>
        </w:numPr>
        <w:pStyle w:val="Compact"/>
      </w:pPr>
      <w:r>
        <w:t xml:space="preserve">Either party may terminate this engagement with thirty (30) days' written notice. In such cases, the Data Scientist shall complete all in-progress deliverables and provide a comprehensive handover document.</w:t>
      </w:r>
    </w:p>
    <w:p>
      <w:pPr>
        <w:numPr>
          <w:ilvl w:val="0"/>
          <w:numId w:val="1002"/>
        </w:numPr>
        <w:pStyle w:val="Compact"/>
      </w:pPr>
      <w:r>
        <w:t xml:space="preserve">This Quotation Estimate does not include costs for additional Data Scientist resources, extended cloud compute beyond the allocated quota, or travel expenses outside the Japan Kyoto metropolitan area.</w:t>
      </w:r>
    </w:p>
    <w:p>
      <w:pPr>
        <w:pStyle w:val="FirstParagraph"/>
      </w:pPr>
      <w:r>
        <w:rPr>
          <w:bCs/>
          <w:b/>
        </w:rPr>
        <w:t xml:space="preserve">Note:</w:t>
      </w:r>
      <w:r>
        <w:t xml:space="preserve"> </w:t>
      </w:r>
      <w:r>
        <w:t xml:space="preserve">This Quotation Estimate assumes a standard 20-day working month in Japan Kyoto. Overtime or weekend work by the Data Scientist, if required by the client, will be billed at 1.5x the standard hourly rate and must be pre-approved in writing by the project sponsor.</w:t>
      </w:r>
    </w:p>
    <w:bookmarkEnd w:id="26"/>
    <w:bookmarkStart w:id="27" w:name="acceptance-authorization"/>
    <w:p>
      <w:pPr>
        <w:pStyle w:val="Heading2"/>
      </w:pPr>
      <w:r>
        <w:t xml:space="preserve">7. Acceptance &amp; Authorization</w:t>
      </w:r>
    </w:p>
    <w:p>
      <w:pPr>
        <w:pStyle w:val="FirstParagraph"/>
      </w:pPr>
      <w:r>
        <w:t xml:space="preserve">By signing below, the client acknowledges and accepts the terms, scope, and pricing outlined in this Quotation Estimate for the Data Scientist services to be delivered in Japan Kyoto. This signature constitutes a binding agreement between the parties for the duration specified herein.</w:t>
      </w:r>
    </w:p>
    <w:p>
      <w:pPr>
        <w:pStyle w:val="BodyText"/>
      </w:pPr>
      <w:r>
        <w:rPr>
          <w:bCs/>
          <w:b/>
        </w:rPr>
        <w:t xml:space="preserve">For Apex Analytics Consulting K.K.</w:t>
      </w:r>
    </w:p>
    <w:p>
      <w:pPr>
        <w:pStyle w:val="BodyText"/>
      </w:pPr>
      <w:r>
        <w:t xml:space="preserve">Name: _________________________</w:t>
      </w:r>
    </w:p>
    <w:p>
      <w:pPr>
        <w:pStyle w:val="BodyText"/>
      </w:pPr>
      <w:r>
        <w:t xml:space="preserve">Title: Managing Director</w:t>
      </w:r>
    </w:p>
    <w:p>
      <w:pPr>
        <w:pStyle w:val="BodyText"/>
      </w:pPr>
      <w:r>
        <w:t xml:space="preserve">Date: _________________________</w:t>
      </w:r>
    </w:p>
    <w:p>
      <w:pPr>
        <w:pStyle w:val="BodyText"/>
      </w:pPr>
      <w:r>
        <w:rPr>
          <w:bCs/>
          <w:b/>
        </w:rPr>
        <w:t xml:space="preserve">For the Client (Japan Kyoto)</w:t>
      </w:r>
    </w:p>
    <w:p>
      <w:pPr>
        <w:pStyle w:val="BodyText"/>
      </w:pPr>
      <w:r>
        <w:t xml:space="preserve">Name: _________________________</w:t>
      </w:r>
    </w:p>
    <w:p>
      <w:pPr>
        <w:pStyle w:val="BodyText"/>
      </w:pPr>
      <w:r>
        <w:t xml:space="preserve">Title: _________________________</w:t>
      </w:r>
    </w:p>
    <w:p>
      <w:pPr>
        <w:pStyle w:val="BodyText"/>
      </w:pPr>
      <w:r>
        <w:t xml:space="preserve">Date: _________________________</w:t>
      </w:r>
    </w:p>
    <w:p>
      <w:pPr>
        <w:pStyle w:val="BodyText"/>
      </w:pPr>
      <w:r>
        <w:t xml:space="preserve">Apex Analytics Consulting K.K. | 1-2-3 Higashiyama-ku, Kyoto 605-0000, Japan</w:t>
      </w:r>
    </w:p>
    <w:p>
      <w:pPr>
        <w:pStyle w:val="BodyText"/>
      </w:pPr>
      <w:r>
        <w:t xml:space="preserve">Tel: +81-75-XXX-XXXX | Email: inquiries@apexanalytics-kyoto.jp</w:t>
      </w:r>
    </w:p>
    <w:p>
      <w:pPr>
        <w:pStyle w:val="BodyText"/>
      </w:pPr>
      <w:r>
        <w:t xml:space="preserve">This Quotation Estimate is confidential and intended solely for the named recipient. © 2025 Apex Analytics Consulting K.K.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Data Scientist - Japan Kyoto</dc:title>
  <dc:creator/>
  <dc:language>en</dc:language>
  <cp:keywords/>
  <dcterms:created xsi:type="dcterms:W3CDTF">2026-10-10T04:12:28Z</dcterms:created>
  <dcterms:modified xsi:type="dcterms:W3CDTF">2026-10-10T04:12:28Z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