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Data</w:t>
      </w:r>
      <w:r>
        <w:t xml:space="preserve"> </w:t>
      </w:r>
      <w:r>
        <w:t xml:space="preserve">Scientist</w:t>
      </w:r>
      <w:r>
        <w:t xml:space="preserve"> </w:t>
      </w:r>
      <w:r>
        <w:t xml:space="preserve">-</w:t>
      </w:r>
      <w:r>
        <w:t xml:space="preserve"> </w:t>
      </w:r>
      <w:r>
        <w:t xml:space="preserve">Netherlands</w:t>
      </w:r>
      <w:r>
        <w:t xml:space="preserve"> </w:t>
      </w:r>
      <w:r>
        <w:t xml:space="preserve">Amsterdam</w:t>
      </w:r>
    </w:p>
    <w:bookmarkStart w:id="20" w:name="quotation-estimate"/>
    <w:p>
      <w:pPr>
        <w:pStyle w:val="Heading1"/>
      </w:pPr>
      <w:r>
        <w:t xml:space="preserve">Quotation Estimate</w:t>
      </w:r>
    </w:p>
    <w:p>
      <w:pPr>
        <w:pStyle w:val="FirstParagraph"/>
      </w:pPr>
      <w:r>
        <w:t xml:space="preserve">Professional Data Scientist Services — Netherlands Amsterdam</w:t>
      </w:r>
    </w:p>
    <w:p>
      <w:pPr>
        <w:pStyle w:val="BodyText"/>
      </w:pPr>
      <w:r>
        <w:t xml:space="preserve">Reference No: QE-DS-AMS-2025-0472  |  Date of Issue: 15 June 2025</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Prepared By</w:t>
            </w:r>
          </w:p>
        </w:tc>
        <w:tc>
          <w:tcPr/>
          <w:p>
            <w:pPr>
              <w:pStyle w:val="Compact"/>
              <w:jc w:val="left"/>
            </w:pPr>
            <w:r>
              <w:t xml:space="preserve">Amsterdam Analytics Solutions B.V., Keizersgracht 214, 1016 CW Amsterdam, Netherlands</w:t>
            </w:r>
          </w:p>
        </w:tc>
      </w:tr>
      <w:tr>
        <w:tc>
          <w:tcPr/>
          <w:p>
            <w:pPr>
              <w:pStyle w:val="Compact"/>
              <w:jc w:val="left"/>
            </w:pPr>
            <w:r>
              <w:t xml:space="preserve">Prepared For</w:t>
            </w:r>
          </w:p>
        </w:tc>
        <w:tc>
          <w:tcPr/>
          <w:p>
            <w:pPr>
              <w:pStyle w:val="Compact"/>
              <w:jc w:val="left"/>
            </w:pPr>
            <w:r>
              <w:t xml:space="preserve">Client Organisation (Name to be confirmed upon acceptance of this Quotation Estimate)</w:t>
            </w:r>
          </w:p>
        </w:tc>
      </w:tr>
      <w:tr>
        <w:tc>
          <w:tcPr/>
          <w:p>
            <w:pPr>
              <w:pStyle w:val="Compact"/>
              <w:jc w:val="left"/>
            </w:pPr>
            <w:r>
              <w:t xml:space="preserve">Service Category</w:t>
            </w:r>
          </w:p>
        </w:tc>
        <w:tc>
          <w:tcPr/>
          <w:p>
            <w:pPr>
              <w:pStyle w:val="Compact"/>
              <w:jc w:val="left"/>
            </w:pPr>
            <w:r>
              <w:t xml:space="preserve">Data Scientist — Full-Spectrum Analytics &amp; Machine Learning Consulting</w:t>
            </w:r>
          </w:p>
        </w:tc>
      </w:tr>
      <w:tr>
        <w:tc>
          <w:tcPr/>
          <w:p>
            <w:pPr>
              <w:pStyle w:val="Compact"/>
              <w:jc w:val="left"/>
            </w:pPr>
            <w:r>
              <w:t xml:space="preserve">Location of Work</w:t>
            </w:r>
          </w:p>
        </w:tc>
        <w:tc>
          <w:tcPr/>
          <w:p>
            <w:pPr>
              <w:pStyle w:val="Compact"/>
              <w:jc w:val="left"/>
            </w:pPr>
            <w:r>
              <w:t xml:space="preserve">Netherlands Amsterdam (on-site and hybrid arrangements available)</w:t>
            </w:r>
          </w:p>
        </w:tc>
      </w:tr>
      <w:tr>
        <w:tc>
          <w:tcPr/>
          <w:p>
            <w:pPr>
              <w:pStyle w:val="Compact"/>
              <w:jc w:val="left"/>
            </w:pPr>
            <w:r>
              <w:t xml:space="preserve">Validity Period</w:t>
            </w:r>
          </w:p>
        </w:tc>
        <w:tc>
          <w:tcPr/>
          <w:p>
            <w:pPr>
              <w:pStyle w:val="Compact"/>
              <w:jc w:val="left"/>
            </w:pPr>
            <w:r>
              <w:t xml:space="preserve">This Quotation Estimate is valid for 60 calendar days from the date of issue</w:t>
            </w:r>
          </w:p>
        </w:tc>
      </w:tr>
      <w:tr>
        <w:tc>
          <w:tcPr/>
          <w:p>
            <w:pPr>
              <w:pStyle w:val="Compact"/>
              <w:jc w:val="left"/>
            </w:pPr>
            <w:r>
              <w:t xml:space="preserve">Currency</w:t>
            </w:r>
          </w:p>
        </w:tc>
        <w:tc>
          <w:tcPr/>
          <w:p>
            <w:pPr>
              <w:pStyle w:val="Compact"/>
              <w:jc w:val="left"/>
            </w:pPr>
            <w:r>
              <w:t xml:space="preserve">Euro (EUR) — all rates inclusive of applicable Dutch VAT (21%)</w:t>
            </w:r>
          </w:p>
        </w:tc>
      </w:tr>
    </w:tbl>
    <w:bookmarkStart w:id="21" w:name="executive-summary"/>
    <w:p>
      <w:pPr>
        <w:pStyle w:val="Heading2"/>
      </w:pPr>
      <w:r>
        <w:t xml:space="preserve">1. Executive Summary</w:t>
      </w:r>
    </w:p>
    <w:p>
      <w:pPr>
        <w:pStyle w:val="FirstParagraph"/>
      </w:pPr>
      <w:r>
        <w:t xml:space="preserve">This</w:t>
      </w:r>
      <w:r>
        <w:t xml:space="preserve"> </w:t>
      </w:r>
      <w:r>
        <w:t xml:space="preserve">Quotation Estimate</w:t>
      </w:r>
      <w:r>
        <w:t xml:space="preserve"> </w:t>
      </w:r>
      <w:r>
        <w:t xml:space="preserve">has been prepared to provide a comprehensive and transparent financial overview for the engagement of a senior</w:t>
      </w:r>
      <w:r>
        <w:t xml:space="preserve"> </w:t>
      </w:r>
      <w:r>
        <w:t xml:space="preserve">Data Scientist</w:t>
      </w:r>
      <w:r>
        <w:t xml:space="preserve"> </w:t>
      </w:r>
      <w:r>
        <w:t xml:space="preserve">to support your organisation's analytics, predictive modelling, and data-driven decision-making initiatives. The proposed engagement is specifically tailored to the operational and regulatory environment of</w:t>
      </w:r>
      <w:r>
        <w:t xml:space="preserve"> </w:t>
      </w:r>
      <w:r>
        <w:t xml:space="preserve">Netherlands Amsterdam</w:t>
      </w:r>
      <w:r>
        <w:t xml:space="preserve">, taking into account local labour market conditions, the Dutch Working Conditions Act (Arbeidswet), and the European General Data Protection Regulation (GDPR) as enforced by the Autoriteit Persoonsgegevens.</w:t>
      </w:r>
    </w:p>
    <w:p>
      <w:pPr>
        <w:pStyle w:val="BodyText"/>
      </w:pPr>
      <w:r>
        <w:t xml:space="preserve">Our</w:t>
      </w:r>
      <w:r>
        <w:t xml:space="preserve"> </w:t>
      </w:r>
      <w:r>
        <w:t xml:space="preserve">Data Scientist</w:t>
      </w:r>
      <w:r>
        <w:t xml:space="preserve"> </w:t>
      </w:r>
      <w:r>
        <w:t xml:space="preserve">brings over twelve years of experience in statistical modelling, natural language processing, computer vision, and end-to-end machine learning pipeline development. The professional will be based in our Amsterdam office at Keizersgracht 214, with the flexibility to work on-site at your premises within the</w:t>
      </w:r>
      <w:r>
        <w:t xml:space="preserve"> </w:t>
      </w:r>
      <w:r>
        <w:t xml:space="preserve">Netherlands Amsterdam</w:t>
      </w:r>
      <w:r>
        <w:t xml:space="preserve"> </w:t>
      </w:r>
      <w:r>
        <w:t xml:space="preserve">metropolitan area or in a hybrid configuration as mutually agreed.</w:t>
      </w:r>
    </w:p>
    <w:bookmarkEnd w:id="21"/>
    <w:bookmarkStart w:id="22" w:name="scope-of-services"/>
    <w:p>
      <w:pPr>
        <w:pStyle w:val="Heading2"/>
      </w:pPr>
      <w:r>
        <w:t xml:space="preserve">2. Scope of Services</w:t>
      </w:r>
    </w:p>
    <w:p>
      <w:pPr>
        <w:pStyle w:val="FirstParagraph"/>
      </w:pPr>
      <w:r>
        <w:t xml:space="preserve">The</w:t>
      </w:r>
      <w:r>
        <w:t xml:space="preserve"> </w:t>
      </w:r>
      <w:r>
        <w:t xml:space="preserve">Data Scientist</w:t>
      </w:r>
      <w:r>
        <w:t xml:space="preserve"> </w:t>
      </w:r>
      <w:r>
        <w:t xml:space="preserve">engagement under this</w:t>
      </w:r>
      <w:r>
        <w:t xml:space="preserve"> </w:t>
      </w:r>
      <w:r>
        <w:t xml:space="preserve">Quotation Estimate</w:t>
      </w:r>
      <w:r>
        <w:t xml:space="preserve"> </w:t>
      </w:r>
      <w:r>
        <w:t xml:space="preserve">encompasses the following deliverables and activities:</w:t>
      </w:r>
    </w:p>
    <w:p>
      <w:pPr>
        <w:numPr>
          <w:ilvl w:val="0"/>
          <w:numId w:val="1001"/>
        </w:numPr>
        <w:pStyle w:val="Compact"/>
      </w:pPr>
      <w:r>
        <w:t xml:space="preserve">Design, development, and deployment of predictive and prescriptive analytics models aligned with your business objectives.</w:t>
      </w:r>
    </w:p>
    <w:p>
      <w:pPr>
        <w:numPr>
          <w:ilvl w:val="0"/>
          <w:numId w:val="1001"/>
        </w:numPr>
        <w:pStyle w:val="Compact"/>
      </w:pPr>
      <w:r>
        <w:t xml:space="preserve">End-to-end data engineering: ingestion, cleaning, transformation, and storage of structured and unstructured datasets.</w:t>
      </w:r>
    </w:p>
    <w:p>
      <w:pPr>
        <w:numPr>
          <w:ilvl w:val="0"/>
          <w:numId w:val="1001"/>
        </w:numPr>
        <w:pStyle w:val="Compact"/>
      </w:pPr>
      <w:r>
        <w:t xml:space="preserve">Application of advanced machine learning and deep learning techniques, including but not limited to gradient-boosted trees, neural networks, and ensemble methods.</w:t>
      </w:r>
    </w:p>
    <w:p>
      <w:pPr>
        <w:numPr>
          <w:ilvl w:val="0"/>
          <w:numId w:val="1001"/>
        </w:numPr>
        <w:pStyle w:val="Compact"/>
      </w:pPr>
      <w:r>
        <w:t xml:space="preserve">Development of natural language processing pipelines for text analytics, sentiment analysis, and automated report generation.</w:t>
      </w:r>
    </w:p>
    <w:p>
      <w:pPr>
        <w:numPr>
          <w:ilvl w:val="0"/>
          <w:numId w:val="1001"/>
        </w:numPr>
        <w:pStyle w:val="Compact"/>
      </w:pPr>
      <w:r>
        <w:t xml:space="preserve">Creation of interactive dashboards and data visualisation artefacts using tools such as Tableau, Power BI, or custom Python-based solutions.</w:t>
      </w:r>
    </w:p>
    <w:p>
      <w:pPr>
        <w:numPr>
          <w:ilvl w:val="0"/>
          <w:numId w:val="1001"/>
        </w:numPr>
        <w:pStyle w:val="Compact"/>
      </w:pPr>
      <w:r>
        <w:t xml:space="preserve">Statistical hypothesis testing, A/B experiment design, and causal inference analysis.</w:t>
      </w:r>
    </w:p>
    <w:p>
      <w:pPr>
        <w:numPr>
          <w:ilvl w:val="0"/>
          <w:numId w:val="1001"/>
        </w:numPr>
        <w:pStyle w:val="Compact"/>
      </w:pPr>
      <w:r>
        <w:t xml:space="preserve">Compliance review to ensure all data processing activities conform to GDPR requirements as applicable in</w:t>
      </w:r>
      <w:r>
        <w:t xml:space="preserve"> </w:t>
      </w:r>
      <w:r>
        <w:t xml:space="preserve">Netherlands Amsterdam</w:t>
      </w:r>
      <w:r>
        <w:t xml:space="preserve"> </w:t>
      </w:r>
      <w:r>
        <w:t xml:space="preserve">and the broader European Union.</w:t>
      </w:r>
    </w:p>
    <w:p>
      <w:pPr>
        <w:numPr>
          <w:ilvl w:val="0"/>
          <w:numId w:val="1001"/>
        </w:numPr>
        <w:pStyle w:val="Compact"/>
      </w:pPr>
      <w:r>
        <w:t xml:space="preserve">Knowledge transfer sessions and documentation to ensure your internal team can maintain and extend the delivered models.</w:t>
      </w:r>
    </w:p>
    <w:bookmarkEnd w:id="22"/>
    <w:bookmarkStart w:id="23" w:name="rate-structure-and-financial-breakdown"/>
    <w:p>
      <w:pPr>
        <w:pStyle w:val="Heading2"/>
      </w:pPr>
      <w:r>
        <w:t xml:space="preserve">3. Rate Structure and Financial Breakdown</w:t>
      </w:r>
    </w:p>
    <w:p>
      <w:pPr>
        <w:pStyle w:val="FirstParagraph"/>
      </w:pPr>
      <w:r>
        <w:t xml:space="preserve">The following rate schedule forms the financial core of this</w:t>
      </w:r>
      <w:r>
        <w:t xml:space="preserve"> </w:t>
      </w:r>
      <w:r>
        <w:t xml:space="preserve">Quotation Estimate</w:t>
      </w:r>
      <w:r>
        <w:t xml:space="preserve">. All figures are expressed in Euro (EUR) and include the standard 21% Dutch Value Added Tax (VAT) applicable in</w:t>
      </w:r>
      <w:r>
        <w:t xml:space="preserve"> </w:t>
      </w:r>
      <w:r>
        <w:t xml:space="preserve">Netherlands Amsterdam</w:t>
      </w:r>
      <w:r>
        <w:t xml:space="preserve">.</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Service Component</w:t>
            </w:r>
          </w:p>
        </w:tc>
        <w:tc>
          <w:tcPr/>
          <w:p>
            <w:pPr>
              <w:pStyle w:val="Compact"/>
              <w:jc w:val="left"/>
            </w:pPr>
            <w:r>
              <w:t xml:space="preserve">Unit</w:t>
            </w:r>
          </w:p>
        </w:tc>
        <w:tc>
          <w:tcPr/>
          <w:p>
            <w:pPr>
              <w:pStyle w:val="Compact"/>
              <w:jc w:val="left"/>
            </w:pPr>
            <w:r>
              <w:t xml:space="preserve">Rate (excl. VAT)</w:t>
            </w:r>
          </w:p>
        </w:tc>
        <w:tc>
          <w:tcPr/>
          <w:p>
            <w:pPr>
              <w:pStyle w:val="Compact"/>
              <w:jc w:val="left"/>
            </w:pPr>
            <w:r>
              <w:t xml:space="preserve">Estimated Volume</w:t>
            </w:r>
          </w:p>
        </w:tc>
        <w:tc>
          <w:tcPr/>
          <w:p>
            <w:pPr>
              <w:pStyle w:val="Compact"/>
              <w:jc w:val="left"/>
            </w:pPr>
            <w:r>
              <w:t xml:space="preserve">Subtotal (excl. VAT)</w:t>
            </w:r>
          </w:p>
        </w:tc>
      </w:tr>
      <w:tr>
        <w:tc>
          <w:tcPr/>
          <w:p>
            <w:pPr>
              <w:pStyle w:val="Compact"/>
              <w:jc w:val="left"/>
            </w:pPr>
            <w:r>
              <w:t xml:space="preserve">Data Scientist — Senior (12+ yrs experience)</w:t>
            </w:r>
          </w:p>
        </w:tc>
        <w:tc>
          <w:tcPr/>
          <w:p>
            <w:pPr>
              <w:pStyle w:val="Compact"/>
              <w:jc w:val="left"/>
            </w:pPr>
            <w:r>
              <w:t xml:space="preserve">Hour</w:t>
            </w:r>
          </w:p>
        </w:tc>
        <w:tc>
          <w:tcPr/>
          <w:p>
            <w:pPr>
              <w:pStyle w:val="Compact"/>
              <w:jc w:val="left"/>
            </w:pPr>
            <w:r>
              <w:t xml:space="preserve">€145.00</w:t>
            </w:r>
          </w:p>
        </w:tc>
        <w:tc>
          <w:tcPr/>
          <w:p>
            <w:pPr>
              <w:pStyle w:val="Compact"/>
              <w:jc w:val="left"/>
            </w:pPr>
            <w:r>
              <w:t xml:space="preserve">160 hrs/month</w:t>
            </w:r>
          </w:p>
        </w:tc>
        <w:tc>
          <w:tcPr/>
          <w:p>
            <w:pPr>
              <w:pStyle w:val="Compact"/>
              <w:jc w:val="left"/>
            </w:pPr>
            <w:r>
              <w:t xml:space="preserve">€23,200.00</w:t>
            </w:r>
          </w:p>
        </w:tc>
      </w:tr>
      <w:tr>
        <w:tc>
          <w:tcPr/>
          <w:p>
            <w:pPr>
              <w:pStyle w:val="Compact"/>
              <w:jc w:val="left"/>
            </w:pPr>
            <w:r>
              <w:t xml:space="preserve">Data Scientist — Mid-Level (5–10 yrs experience)</w:t>
            </w:r>
          </w:p>
        </w:tc>
        <w:tc>
          <w:tcPr/>
          <w:p>
            <w:pPr>
              <w:pStyle w:val="Compact"/>
              <w:jc w:val="left"/>
            </w:pPr>
            <w:r>
              <w:t xml:space="preserve">Hour</w:t>
            </w:r>
          </w:p>
        </w:tc>
        <w:tc>
          <w:tcPr/>
          <w:p>
            <w:pPr>
              <w:pStyle w:val="Compact"/>
              <w:jc w:val="left"/>
            </w:pPr>
            <w:r>
              <w:t xml:space="preserve">€110.00</w:t>
            </w:r>
          </w:p>
        </w:tc>
        <w:tc>
          <w:tcPr/>
          <w:p>
            <w:pPr>
              <w:pStyle w:val="Compact"/>
              <w:jc w:val="left"/>
            </w:pPr>
            <w:r>
              <w:t xml:space="preserve">80 hrs/month</w:t>
            </w:r>
          </w:p>
        </w:tc>
        <w:tc>
          <w:tcPr/>
          <w:p>
            <w:pPr>
              <w:pStyle w:val="Compact"/>
              <w:jc w:val="left"/>
            </w:pPr>
            <w:r>
              <w:t xml:space="preserve">€8,800.00</w:t>
            </w:r>
          </w:p>
        </w:tc>
      </w:tr>
      <w:tr>
        <w:tc>
          <w:tcPr/>
          <w:p>
            <w:pPr>
              <w:pStyle w:val="Compact"/>
              <w:jc w:val="left"/>
            </w:pPr>
            <w:r>
              <w:t xml:space="preserve">Project Management &amp; Coordination</w:t>
            </w:r>
          </w:p>
        </w:tc>
        <w:tc>
          <w:tcPr/>
          <w:p>
            <w:pPr>
              <w:pStyle w:val="Compact"/>
              <w:jc w:val="left"/>
            </w:pPr>
            <w:r>
              <w:t xml:space="preserve">Hour</w:t>
            </w:r>
          </w:p>
        </w:tc>
        <w:tc>
          <w:tcPr/>
          <w:p>
            <w:pPr>
              <w:pStyle w:val="Compact"/>
              <w:jc w:val="left"/>
            </w:pPr>
            <w:r>
              <w:t xml:space="preserve">€95.00</w:t>
            </w:r>
          </w:p>
        </w:tc>
        <w:tc>
          <w:tcPr/>
          <w:p>
            <w:pPr>
              <w:pStyle w:val="Compact"/>
              <w:jc w:val="left"/>
            </w:pPr>
            <w:r>
              <w:t xml:space="preserve">20 hrs/month</w:t>
            </w:r>
          </w:p>
        </w:tc>
        <w:tc>
          <w:tcPr/>
          <w:p>
            <w:pPr>
              <w:pStyle w:val="Compact"/>
              <w:jc w:val="left"/>
            </w:pPr>
            <w:r>
              <w:t xml:space="preserve">€1,900.00</w:t>
            </w:r>
          </w:p>
        </w:tc>
      </w:tr>
      <w:tr>
        <w:tc>
          <w:tcPr/>
          <w:p>
            <w:pPr>
              <w:pStyle w:val="Compact"/>
              <w:jc w:val="left"/>
            </w:pPr>
            <w:r>
              <w:t xml:space="preserve">Cloud Infrastructure &amp; Compute (AWS / Azure / GCP)</w:t>
            </w:r>
          </w:p>
        </w:tc>
        <w:tc>
          <w:tcPr/>
          <w:p>
            <w:pPr>
              <w:pStyle w:val="Compact"/>
              <w:jc w:val="left"/>
            </w:pPr>
            <w:r>
              <w:t xml:space="preserve">Month</w:t>
            </w:r>
          </w:p>
        </w:tc>
        <w:tc>
          <w:tcPr/>
          <w:p>
            <w:pPr>
              <w:pStyle w:val="Compact"/>
              <w:jc w:val="left"/>
            </w:pPr>
            <w:r>
              <w:t xml:space="preserve">€2,500.00</w:t>
            </w:r>
          </w:p>
        </w:tc>
        <w:tc>
          <w:tcPr/>
          <w:p>
            <w:pPr>
              <w:pStyle w:val="Compact"/>
              <w:jc w:val="left"/>
            </w:pPr>
            <w:r>
              <w:t xml:space="preserve">1 month</w:t>
            </w:r>
          </w:p>
        </w:tc>
        <w:tc>
          <w:tcPr/>
          <w:p>
            <w:pPr>
              <w:pStyle w:val="Compact"/>
              <w:jc w:val="left"/>
            </w:pPr>
            <w:r>
              <w:t xml:space="preserve">€2,500.00</w:t>
            </w:r>
          </w:p>
        </w:tc>
      </w:tr>
      <w:tr>
        <w:tc>
          <w:tcPr/>
          <w:p>
            <w:pPr>
              <w:pStyle w:val="Compact"/>
              <w:jc w:val="left"/>
            </w:pPr>
            <w:r>
              <w:t xml:space="preserve">Licence &amp; Software Tooling (per seat)</w:t>
            </w:r>
          </w:p>
        </w:tc>
        <w:tc>
          <w:tcPr/>
          <w:p>
            <w:pPr>
              <w:pStyle w:val="Compact"/>
              <w:jc w:val="left"/>
            </w:pPr>
            <w:r>
              <w:t xml:space="preserve">Month</w:t>
            </w:r>
          </w:p>
        </w:tc>
        <w:tc>
          <w:tcPr/>
          <w:p>
            <w:pPr>
              <w:pStyle w:val="Compact"/>
              <w:jc w:val="left"/>
            </w:pPr>
            <w:r>
              <w:t xml:space="preserve">€450.00</w:t>
            </w:r>
          </w:p>
        </w:tc>
        <w:tc>
          <w:tcPr/>
          <w:p>
            <w:pPr>
              <w:pStyle w:val="Compact"/>
              <w:jc w:val="left"/>
            </w:pPr>
            <w:r>
              <w:t xml:space="preserve">1 month</w:t>
            </w:r>
          </w:p>
        </w:tc>
        <w:tc>
          <w:tcPr/>
          <w:p>
            <w:pPr>
              <w:pStyle w:val="Compact"/>
              <w:jc w:val="left"/>
            </w:pPr>
            <w:r>
              <w:t xml:space="preserve">€450.00</w:t>
            </w:r>
          </w:p>
        </w:tc>
      </w:tr>
      <w:tr>
        <w:tc>
          <w:tcPr/>
          <w:p>
            <w:pPr>
              <w:pStyle w:val="Compact"/>
              <w:jc w:val="left"/>
            </w:pPr>
            <w:r>
              <w:t xml:space="preserve">Travel &amp; Local Transport within Netherlands Amsterdam</w:t>
            </w:r>
          </w:p>
        </w:tc>
        <w:tc>
          <w:tcPr/>
          <w:p>
            <w:pPr>
              <w:pStyle w:val="Compact"/>
              <w:jc w:val="left"/>
            </w:pPr>
            <w:r>
              <w:t xml:space="preserve">Month</w:t>
            </w:r>
          </w:p>
        </w:tc>
        <w:tc>
          <w:tcPr/>
          <w:p>
            <w:pPr>
              <w:pStyle w:val="Compact"/>
              <w:jc w:val="left"/>
            </w:pPr>
            <w:r>
              <w:t xml:space="preserve">€300.00</w:t>
            </w:r>
          </w:p>
        </w:tc>
        <w:tc>
          <w:tcPr/>
          <w:p>
            <w:pPr>
              <w:pStyle w:val="Compact"/>
              <w:jc w:val="left"/>
            </w:pPr>
            <w:r>
              <w:t xml:space="preserve">1 month</w:t>
            </w:r>
          </w:p>
        </w:tc>
        <w:tc>
          <w:tcPr/>
          <w:p>
            <w:pPr>
              <w:pStyle w:val="Compact"/>
              <w:jc w:val="left"/>
            </w:pPr>
            <w:r>
              <w:t xml:space="preserve">€300.00</w:t>
            </w:r>
          </w:p>
        </w:tc>
      </w:tr>
      <w:tr>
        <w:tc>
          <w:tcPr>
            <w:gridSpan w:val="4"/>
          </w:tcPr>
          <w:p>
            <w:pPr>
              <w:pStyle w:val="Compact"/>
              <w:jc w:val="left"/>
            </w:pPr>
            <w:r>
              <w:t xml:space="preserve">Monthly Total (excl. VAT)</w:t>
            </w:r>
          </w:p>
        </w:tc>
        <w:tc>
          <w:tcPr/>
          <w:p>
            <w:pPr>
              <w:pStyle w:val="Compact"/>
              <w:jc w:val="left"/>
            </w:pPr>
            <w:r>
              <w:t xml:space="preserve">€37,150.00</w:t>
            </w:r>
          </w:p>
        </w:tc>
      </w:tr>
      <w:tr>
        <w:tc>
          <w:tcPr>
            <w:gridSpan w:val="4"/>
          </w:tcPr>
          <w:p>
            <w:pPr>
              <w:pStyle w:val="Compact"/>
              <w:jc w:val="left"/>
            </w:pPr>
            <w:r>
              <w:t xml:space="preserve">VAT (21%)</w:t>
            </w:r>
          </w:p>
        </w:tc>
        <w:tc>
          <w:tcPr/>
          <w:p>
            <w:pPr>
              <w:pStyle w:val="Compact"/>
              <w:jc w:val="left"/>
            </w:pPr>
            <w:r>
              <w:t xml:space="preserve">€7,801.50</w:t>
            </w:r>
          </w:p>
        </w:tc>
      </w:tr>
      <w:tr>
        <w:tc>
          <w:tcPr>
            <w:gridSpan w:val="4"/>
          </w:tcPr>
          <w:p>
            <w:pPr>
              <w:pStyle w:val="Compact"/>
              <w:jc w:val="left"/>
            </w:pPr>
            <w:r>
              <w:t xml:space="preserve">Monthly Total (incl. VAT)</w:t>
            </w:r>
          </w:p>
        </w:tc>
        <w:tc>
          <w:tcPr/>
          <w:p>
            <w:pPr>
              <w:pStyle w:val="Compact"/>
              <w:jc w:val="left"/>
            </w:pPr>
            <w:r>
              <w:t xml:space="preserve">€44,951.50</w:t>
            </w:r>
          </w:p>
        </w:tc>
      </w:tr>
    </w:tbl>
    <w:p>
      <w:pPr>
        <w:pStyle w:val="BodyText"/>
      </w:pPr>
      <w:r>
        <w:rPr>
          <w:bCs/>
          <w:b/>
        </w:rPr>
        <w:t xml:space="preserve">Note:</w:t>
      </w:r>
      <w:r>
        <w:t xml:space="preserve"> </w:t>
      </w:r>
      <w:r>
        <w:t xml:space="preserve">The rates quoted in this</w:t>
      </w:r>
      <w:r>
        <w:t xml:space="preserve"> </w:t>
      </w:r>
      <w:r>
        <w:t xml:space="preserve">Quotation Estimate</w:t>
      </w:r>
      <w:r>
        <w:t xml:space="preserve"> </w:t>
      </w:r>
      <w:r>
        <w:t xml:space="preserve">reflect the prevailing market rates for a</w:t>
      </w:r>
      <w:r>
        <w:t xml:space="preserve"> </w:t>
      </w:r>
      <w:r>
        <w:t xml:space="preserve">Data Scientist</w:t>
      </w:r>
      <w:r>
        <w:t xml:space="preserve"> </w:t>
      </w:r>
      <w:r>
        <w:t xml:space="preserve">in</w:t>
      </w:r>
      <w:r>
        <w:t xml:space="preserve"> </w:t>
      </w:r>
      <w:r>
        <w:t xml:space="preserve">Netherlands Amsterdam</w:t>
      </w:r>
      <w:r>
        <w:t xml:space="preserve"> </w:t>
      </w:r>
      <w:r>
        <w:t xml:space="preserve">as of mid-2025. Should the engagement extend beyond the initial three-month period, a revised</w:t>
      </w:r>
      <w:r>
        <w:t xml:space="preserve"> </w:t>
      </w:r>
      <w:r>
        <w:t xml:space="preserve">Quotation Estimate</w:t>
      </w:r>
      <w:r>
        <w:t xml:space="preserve"> </w:t>
      </w:r>
      <w:r>
        <w:t xml:space="preserve">incorporating potential rate adjustments will be issued no later than 30 days prior to the renewal date.</w:t>
      </w:r>
    </w:p>
    <w:bookmarkEnd w:id="23"/>
    <w:bookmarkStart w:id="24" w:name="terms-and-conditions"/>
    <w:p>
      <w:pPr>
        <w:pStyle w:val="Heading2"/>
      </w:pPr>
      <w:r>
        <w:t xml:space="preserve">4. Terms and Conditions</w:t>
      </w:r>
    </w:p>
    <w:p>
      <w:pPr>
        <w:pStyle w:val="FirstParagraph"/>
      </w:pPr>
      <w:r>
        <w:rPr>
          <w:bCs/>
          <w:b/>
        </w:rPr>
        <w:t xml:space="preserve">4.1 Payment Terms:</w:t>
      </w:r>
      <w:r>
        <w:t xml:space="preserve"> </w:t>
      </w:r>
      <w:r>
        <w:t xml:space="preserve">Invoices issued under this</w:t>
      </w:r>
      <w:r>
        <w:t xml:space="preserve"> </w:t>
      </w:r>
      <w:r>
        <w:t xml:space="preserve">Quotation Estimate</w:t>
      </w:r>
      <w:r>
        <w:t xml:space="preserve"> </w:t>
      </w:r>
      <w:r>
        <w:t xml:space="preserve">are payable within 30 calendar days of the invoice date. Payment shall be made via SEPA bank transfer to the account of Amsterdam Analytics Solutions B.V. Late payments shall accrue interest at the statutory Dutch rate as defined under Article 6:119a of the Dutch Civil Code (Burgerlijk Wetboek).</w:t>
      </w:r>
    </w:p>
    <w:p>
      <w:pPr>
        <w:pStyle w:val="BodyText"/>
      </w:pPr>
      <w:r>
        <w:rPr>
          <w:bCs/>
          <w:b/>
        </w:rPr>
        <w:t xml:space="preserve">4.2 Intellectual Property:</w:t>
      </w:r>
      <w:r>
        <w:t xml:space="preserve"> </w:t>
      </w:r>
      <w:r>
        <w:t xml:space="preserve">All models, code, documentation, and analytical artefacts produced by the</w:t>
      </w:r>
      <w:r>
        <w:t xml:space="preserve"> </w:t>
      </w:r>
      <w:r>
        <w:t xml:space="preserve">Data Scientist</w:t>
      </w:r>
      <w:r>
        <w:t xml:space="preserve"> </w:t>
      </w:r>
      <w:r>
        <w:t xml:space="preserve">during the course of this engagement shall become the exclusive property of the client upon full payment. Our firm retains the right to reference the engagement in anonymised case studies unless otherwise agreed in writing.</w:t>
      </w:r>
    </w:p>
    <w:p>
      <w:pPr>
        <w:pStyle w:val="BodyText"/>
      </w:pPr>
      <w:r>
        <w:rPr>
          <w:bCs/>
          <w:b/>
        </w:rPr>
        <w:t xml:space="preserve">4.3 Data Protection &amp; GDPR:</w:t>
      </w:r>
      <w:r>
        <w:t xml:space="preserve"> </w:t>
      </w:r>
      <w:r>
        <w:t xml:space="preserve">In accordance with the EU General Data Protection Regulation and the Dutch UAVG (Uitvoeringswet AVG), all personal data processed by the</w:t>
      </w:r>
      <w:r>
        <w:t xml:space="preserve"> </w:t>
      </w:r>
      <w:r>
        <w:t xml:space="preserve">Data Scientist</w:t>
      </w:r>
      <w:r>
        <w:t xml:space="preserve"> </w:t>
      </w:r>
      <w:r>
        <w:t xml:space="preserve">while operating in</w:t>
      </w:r>
      <w:r>
        <w:t xml:space="preserve"> </w:t>
      </w:r>
      <w:r>
        <w:t xml:space="preserve">Netherlands Amsterdam</w:t>
      </w:r>
      <w:r>
        <w:t xml:space="preserve"> </w:t>
      </w:r>
      <w:r>
        <w:t xml:space="preserve">shall be handled in strict compliance with the applicable legal framework. A Data Processing Agreement (DPA) shall be executed prior to the commencement of any data-handling activities.</w:t>
      </w:r>
    </w:p>
    <w:p>
      <w:pPr>
        <w:pStyle w:val="BodyText"/>
      </w:pPr>
      <w:r>
        <w:rPr>
          <w:bCs/>
          <w:b/>
        </w:rPr>
        <w:t xml:space="preserve">4.4 Termination:</w:t>
      </w:r>
      <w:r>
        <w:t xml:space="preserve"> </w:t>
      </w:r>
      <w:r>
        <w:t xml:space="preserve">Either party may terminate this engagement with a written notice period of 30 calendar days. In the event of early termination, all services rendered up to the effective date of termination shall be invoiced in accordance with the rates specified in this</w:t>
      </w:r>
      <w:r>
        <w:t xml:space="preserve"> </w:t>
      </w:r>
      <w:r>
        <w:t xml:space="preserve">Quotation Estimate</w:t>
      </w:r>
      <w:r>
        <w:t xml:space="preserve">.</w:t>
      </w:r>
    </w:p>
    <w:p>
      <w:pPr>
        <w:pStyle w:val="BodyText"/>
      </w:pPr>
      <w:r>
        <w:rPr>
          <w:bCs/>
          <w:b/>
        </w:rPr>
        <w:t xml:space="preserve">4.5 Confidentiality:</w:t>
      </w:r>
      <w:r>
        <w:t xml:space="preserve"> </w:t>
      </w:r>
      <w:r>
        <w:t xml:space="preserve">Both parties agree to maintain strict confidentiality regarding all proprietary information, trade secrets, and business strategies disclosed during the engagement. This obligation shall survive the termination of the contract for a period of three (3) years.</w:t>
      </w:r>
    </w:p>
    <w:p>
      <w:pPr>
        <w:pStyle w:val="BodyText"/>
      </w:pPr>
      <w:r>
        <w:rPr>
          <w:bCs/>
          <w:b/>
        </w:rPr>
        <w:t xml:space="preserve">4.6 Governing Law:</w:t>
      </w:r>
      <w:r>
        <w:t xml:space="preserve"> </w:t>
      </w:r>
      <w:r>
        <w:t xml:space="preserve">This</w:t>
      </w:r>
      <w:r>
        <w:t xml:space="preserve"> </w:t>
      </w:r>
      <w:r>
        <w:t xml:space="preserve">Quotation Estimate</w:t>
      </w:r>
      <w:r>
        <w:t xml:space="preserve"> </w:t>
      </w:r>
      <w:r>
        <w:t xml:space="preserve">and any resulting contract shall be governed by and construed in accordance with the laws of the Netherlands. Any disputes shall be submitted to the competent courts of Amsterdam,</w:t>
      </w:r>
      <w:r>
        <w:t xml:space="preserve"> </w:t>
      </w:r>
      <w:r>
        <w:t xml:space="preserve">Netherlands Amsterdam</w:t>
      </w:r>
      <w:r>
        <w:t xml:space="preserve">.</w:t>
      </w:r>
    </w:p>
    <w:bookmarkEnd w:id="24"/>
    <w:bookmarkStart w:id="25" w:name="acceptance-and-sign-off"/>
    <w:p>
      <w:pPr>
        <w:pStyle w:val="Heading2"/>
      </w:pPr>
      <w:r>
        <w:t xml:space="preserve">5. Acceptance and Sign-Off</w:t>
      </w:r>
    </w:p>
    <w:p>
      <w:pPr>
        <w:pStyle w:val="FirstParagraph"/>
      </w:pPr>
      <w:r>
        <w:t xml:space="preserve">By signing below, the client acknowledges receipt of this</w:t>
      </w:r>
      <w:r>
        <w:t xml:space="preserve"> </w:t>
      </w:r>
      <w:r>
        <w:t xml:space="preserve">Quotation Estimate</w:t>
      </w:r>
      <w:r>
        <w:t xml:space="preserve"> </w:t>
      </w:r>
      <w:r>
        <w:t xml:space="preserve">and agrees to the scope, rates, and terms outlined herein for the engagement of the</w:t>
      </w:r>
      <w:r>
        <w:t xml:space="preserve"> </w:t>
      </w:r>
      <w:r>
        <w:t xml:space="preserve">Data Scientist</w:t>
      </w:r>
      <w:r>
        <w:t xml:space="preserve"> </w:t>
      </w:r>
      <w:r>
        <w:t xml:space="preserve">in</w:t>
      </w:r>
      <w:r>
        <w:t xml:space="preserve"> </w:t>
      </w:r>
      <w:r>
        <w:t xml:space="preserve">Netherlands Amsterdam</w:t>
      </w:r>
      <w:r>
        <w:t xml:space="preserve">. Upon countersignature by both parties, this document shall constitute a binding service agreement.</w:t>
      </w:r>
    </w:p>
    <w:p>
      <w:pPr>
        <w:pStyle w:val="BodyText"/>
      </w:pPr>
      <w:r>
        <w:br/>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For Amsterdam Analytics Solutions B.V.</w:t>
            </w:r>
          </w:p>
        </w:tc>
        <w:tc>
          <w:tcPr/>
          <w:p>
            <w:pPr>
              <w:pStyle w:val="Compact"/>
              <w:jc w:val="left"/>
            </w:pPr>
            <w:r>
              <w:t xml:space="preserve">For the Client</w:t>
            </w:r>
          </w:p>
        </w:tc>
      </w:tr>
      <w:tr>
        <w:tc>
          <w:tcPr/>
          <w:p>
            <w:pPr>
              <w:pStyle w:val="Compact"/>
              <w:jc w:val="left"/>
            </w:pPr>
            <w:r>
              <w:t xml:space="preserve">Name: ______________________________</w:t>
            </w:r>
          </w:p>
        </w:tc>
        <w:tc>
          <w:tcPr/>
          <w:p>
            <w:pPr>
              <w:pStyle w:val="Compact"/>
              <w:jc w:val="left"/>
            </w:pPr>
            <w:r>
              <w:t xml:space="preserve">Name: ______________________________</w:t>
            </w:r>
          </w:p>
        </w:tc>
      </w:tr>
      <w:tr>
        <w:tc>
          <w:tcPr/>
          <w:p>
            <w:pPr>
              <w:pStyle w:val="Compact"/>
              <w:jc w:val="left"/>
            </w:pPr>
            <w:r>
              <w:t xml:space="preserve">Title: ______________________________</w:t>
            </w:r>
          </w:p>
        </w:tc>
        <w:tc>
          <w:tcPr/>
          <w:p>
            <w:pPr>
              <w:pStyle w:val="Compact"/>
              <w:jc w:val="left"/>
            </w:pPr>
            <w:r>
              <w:t xml:space="preserve">Title: ______________________________</w:t>
            </w:r>
          </w:p>
        </w:tc>
      </w:tr>
      <w:tr>
        <w:tc>
          <w:tcPr/>
          <w:p>
            <w:pPr>
              <w:pStyle w:val="Compact"/>
              <w:jc w:val="left"/>
            </w:pPr>
            <w:r>
              <w:t xml:space="preserve">Signature: ______________________________</w:t>
            </w:r>
          </w:p>
        </w:tc>
        <w:tc>
          <w:tcPr/>
          <w:p>
            <w:pPr>
              <w:pStyle w:val="Compact"/>
              <w:jc w:val="left"/>
            </w:pPr>
            <w:r>
              <w:t xml:space="preserve">Signature: ______________________________</w:t>
            </w:r>
          </w:p>
        </w:tc>
      </w:tr>
      <w:tr>
        <w:tc>
          <w:tcPr/>
          <w:p>
            <w:pPr>
              <w:pStyle w:val="Compact"/>
              <w:jc w:val="left"/>
            </w:pPr>
            <w:r>
              <w:t xml:space="preserve">Date: ______________________________</w:t>
            </w:r>
          </w:p>
        </w:tc>
        <w:tc>
          <w:tcPr/>
          <w:p>
            <w:pPr>
              <w:pStyle w:val="Compact"/>
              <w:jc w:val="left"/>
            </w:pPr>
            <w:r>
              <w:t xml:space="preserve">Date: ______________________________</w:t>
            </w:r>
          </w:p>
        </w:tc>
      </w:tr>
    </w:tbl>
    <w:p>
      <w:pPr>
        <w:pStyle w:val="BodyText"/>
      </w:pPr>
      <w:r>
        <w:t xml:space="preserve">This</w:t>
      </w:r>
      <w:r>
        <w:t xml:space="preserve"> </w:t>
      </w:r>
      <w:r>
        <w:t xml:space="preserve">Quotation Estimate</w:t>
      </w:r>
      <w:r>
        <w:t xml:space="preserve"> </w:t>
      </w:r>
      <w:r>
        <w:t xml:space="preserve">(Ref: QE-DS-AMS-2025-0472) was prepared exclusively for the intended recipient and is not transferable.</w:t>
      </w:r>
      <w:r>
        <w:t xml:space="preserve"> </w:t>
      </w:r>
      <w:r>
        <w:t xml:space="preserve"> |  Amsterdam Analytics Solutions B.V. — KvK 87654321 — BTW NL867543212B01</w:t>
      </w:r>
      <w:r>
        <w:br/>
      </w:r>
      <w:r>
        <w:t xml:space="preserve">Keizersgracht 214, 1016 CW Amsterdam, The Netherlands  |  +31 (0)20 123 4567  |  info@amsterdamanalytics.nl</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Data Scientist - Netherlands Amsterdam</dc:title>
  <dc:creator/>
  <dc:language>en</dc:language>
  <cp:keywords/>
  <dcterms:created xsi:type="dcterms:W3CDTF">2026-10-10T02:16:17Z</dcterms:created>
  <dcterms:modified xsi:type="dcterms:W3CDTF">2026-10-10T02:16:17Z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content-width=device-width, initial-scale=1.0</vt:lpwstr>
  </property>
</Properties>
</file>