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Data Scientist Services — Pakistan Islamabad</w:t>
      </w:r>
    </w:p>
    <w:p>
      <w:pPr>
        <w:pStyle w:val="BodyText"/>
      </w:pPr>
      <w:r>
        <w:t xml:space="preserve">Ref: QTE-2025-DS-0847 | Valid Until: 30 June 2025</w:t>
      </w:r>
    </w:p>
    <w:bookmarkEnd w:id="20"/>
    <w:p>
      <w:pPr>
        <w:pStyle w:val="BodyText"/>
      </w:pPr>
      <w:r>
        <w:rPr>
          <w:bCs/>
          <w:b/>
        </w:rPr>
        <w:t xml:space="preserve">Prepared By:</w:t>
      </w:r>
      <w:r>
        <w:t xml:space="preserve"> </w:t>
      </w:r>
      <w:r>
        <w:t xml:space="preserve">TechBridge Analytics Pvt. Ltd.</w:t>
      </w:r>
      <w:r>
        <w:br/>
      </w:r>
      <w:r>
        <w:t xml:space="preserve">F-7/3, Jinnah Avenue</w:t>
      </w:r>
      <w:r>
        <w:br/>
      </w:r>
      <w:r>
        <w:t xml:space="preserve">Islamabad, Pakistan</w:t>
      </w:r>
      <w:r>
        <w:br/>
      </w:r>
      <w:r>
        <w:t xml:space="preserve">Email: quotes@techbridge.pk</w:t>
      </w:r>
      <w:r>
        <w:br/>
      </w:r>
      <w:r>
        <w:t xml:space="preserve">Phone: +92-51-2345678</w:t>
      </w:r>
    </w:p>
    <w:p>
      <w:pPr>
        <w:pStyle w:val="BodyText"/>
      </w:pPr>
      <w:r>
        <w:rPr>
          <w:bCs/>
          <w:b/>
        </w:rPr>
        <w:t xml:space="preserve">Prepared For:</w:t>
      </w:r>
      <w:r>
        <w:t xml:space="preserve"> </w:t>
      </w:r>
      <w:r>
        <w:t xml:space="preserve">[Client Name / Organization]</w:t>
      </w:r>
      <w:r>
        <w:br/>
      </w:r>
      <w:r>
        <w:t xml:space="preserve">[Client Address]</w:t>
      </w:r>
      <w:r>
        <w:br/>
      </w:r>
      <w:r>
        <w:t xml:space="preserve">Islamabad, Pakistan</w:t>
      </w:r>
      <w:r>
        <w:br/>
      </w:r>
      <w:r>
        <w:t xml:space="preserve">Contact: [Client Email]</w:t>
      </w:r>
      <w:r>
        <w:br/>
      </w:r>
      <w:r>
        <w:t xml:space="preserve">Phone: [Client Phone]</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TechBridge Analytics Pvt. Ltd. to provide a comprehensive and transparent pricing structure for the engagement of a senior</w:t>
      </w:r>
      <w:r>
        <w:t xml:space="preserve"> </w:t>
      </w:r>
      <w:r>
        <w:t xml:space="preserve">Data Scientist</w:t>
      </w:r>
      <w:r>
        <w:t xml:space="preserve"> </w:t>
      </w:r>
      <w:r>
        <w:t xml:space="preserve">professional based in</w:t>
      </w:r>
      <w:r>
        <w:t xml:space="preserve"> </w:t>
      </w:r>
      <w:r>
        <w:t xml:space="preserve">Pakistan Islamabad</w:t>
      </w:r>
      <w:r>
        <w:t xml:space="preserve">. The purpose of this document is to outline the scope of work, deliverables, timelines, and associated costs for the client's data analytics and machine learning initiatives. All rates quoted herein reflect the current market standards for qualified Data Scientist professionals operating within the Islamabad metropolitan area and its surrounding regions in Pakistan.</w:t>
      </w:r>
    </w:p>
    <w:bookmarkEnd w:id="21"/>
    <w:bookmarkStart w:id="22" w:name="scope-of-work-services"/>
    <w:p>
      <w:pPr>
        <w:pStyle w:val="Heading2"/>
      </w:pPr>
      <w:r>
        <w:t xml:space="preserve">2. Scope of Work &amp; Services</w:t>
      </w:r>
    </w:p>
    <w:p>
      <w:pPr>
        <w:pStyle w:val="FirstParagraph"/>
      </w:pPr>
      <w:r>
        <w:t xml:space="preserve">The</w:t>
      </w:r>
      <w:r>
        <w:t xml:space="preserve"> </w:t>
      </w:r>
      <w:r>
        <w:t xml:space="preserve">Data Scientist</w:t>
      </w:r>
      <w:r>
        <w:t xml:space="preserve"> </w:t>
      </w:r>
      <w:r>
        <w:t xml:space="preserve">engagement under this Quotation Estimate encompasses the following core service areas, tailored to meet the specific analytical and predictive modeling requirements of the client: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(PKR)</w:t>
            </w:r>
          </w:p>
        </w:tc>
      </w:tr>
      <w:tr>
        <w:tc>
          <w:tcPr/>
          <w:p>
            <w:pPr>
              <w:pStyle w:val="Compact"/>
              <w:jc w:val="left"/>
            </w:pPr>
            <w:r>
              <w:t xml:space="preserve">Initial Data Audit &amp; Assessment</w:t>
            </w:r>
          </w:p>
        </w:tc>
        <w:tc>
          <w:tcPr/>
          <w:p>
            <w:pPr>
              <w:pStyle w:val="Compact"/>
              <w:jc w:val="left"/>
            </w:pPr>
            <w:r>
              <w:t xml:space="preserve">Comprehensive review of existing data infrastructure, data quality evaluation, and gap analysis conducted in Islamabad office or remotely.</w:t>
            </w:r>
          </w:p>
        </w:tc>
        <w:tc>
          <w:tcPr/>
          <w:p>
            <w:pPr>
              <w:pStyle w:val="Compact"/>
              <w:jc w:val="left"/>
            </w:pPr>
            <w:r>
              <w:t xml:space="preserve">2 Weeks</w:t>
            </w:r>
          </w:p>
        </w:tc>
        <w:tc>
          <w:tcPr/>
          <w:p>
            <w:pPr>
              <w:pStyle w:val="Compact"/>
              <w:jc w:val="left"/>
            </w:pPr>
            <w:r>
              <w:t xml:space="preserve">185,000</w:t>
            </w:r>
          </w:p>
        </w:tc>
      </w:tr>
      <w:tr>
        <w:tc>
          <w:tcPr/>
          <w:p>
            <w:pPr>
              <w:pStyle w:val="Compact"/>
              <w:jc w:val="left"/>
            </w:pPr>
            <w:r>
              <w:t xml:space="preserve">Machine Learning Model Development</w:t>
            </w:r>
          </w:p>
        </w:tc>
        <w:tc>
          <w:tcPr/>
          <w:p>
            <w:pPr>
              <w:pStyle w:val="Compact"/>
              <w:jc w:val="left"/>
            </w:pPr>
            <w:r>
              <w:t xml:space="preserve">Design, training, and validation of predictive models using Python, R, TensorFlow, and scikit-learn frameworks.</w:t>
            </w:r>
          </w:p>
        </w:tc>
        <w:tc>
          <w:tcPr/>
          <w:p>
            <w:pPr>
              <w:pStyle w:val="Compact"/>
              <w:jc w:val="left"/>
            </w:pPr>
            <w:r>
              <w:t xml:space="preserve">6 Weeks</w:t>
            </w:r>
          </w:p>
        </w:tc>
        <w:tc>
          <w:tcPr/>
          <w:p>
            <w:pPr>
              <w:pStyle w:val="Compact"/>
              <w:jc w:val="left"/>
            </w:pPr>
            <w:r>
              <w:t xml:space="preserve">1,250,000</w:t>
            </w:r>
          </w:p>
        </w:tc>
      </w:tr>
      <w:tr>
        <w:tc>
          <w:tcPr/>
          <w:p>
            <w:pPr>
              <w:pStyle w:val="Compact"/>
              <w:jc w:val="left"/>
            </w:pPr>
            <w:r>
              <w:t xml:space="preserve">Data Pipeline Architecture</w:t>
            </w:r>
          </w:p>
        </w:tc>
        <w:tc>
          <w:tcPr/>
          <w:p>
            <w:pPr>
              <w:pStyle w:val="Compact"/>
              <w:jc w:val="left"/>
            </w:pPr>
            <w:r>
              <w:t xml:space="preserve">Construction of ETL pipelines, data warehousing solutions, and real-time streaming architectures.</w:t>
            </w:r>
          </w:p>
        </w:tc>
        <w:tc>
          <w:tcPr/>
          <w:p>
            <w:pPr>
              <w:pStyle w:val="Compact"/>
              <w:jc w:val="left"/>
            </w:pPr>
            <w:r>
              <w:t xml:space="preserve">4 Weeks</w:t>
            </w:r>
          </w:p>
        </w:tc>
        <w:tc>
          <w:tcPr/>
          <w:p>
            <w:pPr>
              <w:pStyle w:val="Compact"/>
              <w:jc w:val="left"/>
            </w:pPr>
            <w:r>
              <w:t xml:space="preserve">875,000</w:t>
            </w:r>
          </w:p>
        </w:tc>
      </w:tr>
      <w:tr>
        <w:tc>
          <w:tcPr/>
          <w:p>
            <w:pPr>
              <w:pStyle w:val="Compact"/>
              <w:jc w:val="left"/>
            </w:pPr>
            <w:r>
              <w:t xml:space="preserve">Statistical Analysis &amp; Reporting</w:t>
            </w:r>
          </w:p>
        </w:tc>
        <w:tc>
          <w:tcPr/>
          <w:p>
            <w:pPr>
              <w:pStyle w:val="Compact"/>
              <w:jc w:val="left"/>
            </w:pPr>
            <w:r>
              <w:t xml:space="preserve">Advanced statistical modeling, A/B testing frameworks, and executive-level visualization dashboards.</w:t>
            </w:r>
          </w:p>
        </w:tc>
        <w:tc>
          <w:tcPr/>
          <w:p>
            <w:pPr>
              <w:pStyle w:val="Compact"/>
              <w:jc w:val="left"/>
            </w:pPr>
            <w:r>
              <w:t xml:space="preserve">3 Weeks</w:t>
            </w:r>
          </w:p>
        </w:tc>
        <w:tc>
          <w:tcPr/>
          <w:p>
            <w:pPr>
              <w:pStyle w:val="Compact"/>
              <w:jc w:val="left"/>
            </w:pPr>
            <w:r>
              <w:t xml:space="preserve">525,000</w:t>
            </w:r>
          </w:p>
        </w:tc>
      </w:tr>
      <w:tr>
        <w:tc>
          <w:tcPr/>
          <w:p>
            <w:pPr>
              <w:pStyle w:val="Compact"/>
              <w:jc w:val="left"/>
            </w:pPr>
            <w:r>
              <w:t xml:space="preserve">Model Deployment &amp; MLOps</w:t>
            </w:r>
          </w:p>
        </w:tc>
        <w:tc>
          <w:tcPr/>
          <w:p>
            <w:pPr>
              <w:pStyle w:val="Compact"/>
              <w:jc w:val="left"/>
            </w:pPr>
            <w:r>
              <w:t xml:space="preserve">Containerization, CI/CD integration, cloud deployment (AWS/Azure/GCP), and monitoring setup.</w:t>
            </w:r>
          </w:p>
        </w:tc>
        <w:tc>
          <w:tcPr/>
          <w:p>
            <w:pPr>
              <w:pStyle w:val="Compact"/>
              <w:jc w:val="left"/>
            </w:pPr>
            <w:r>
              <w:t xml:space="preserve">3 Weeks</w:t>
            </w:r>
          </w:p>
        </w:tc>
        <w:tc>
          <w:tcPr/>
          <w:p>
            <w:pPr>
              <w:pStyle w:val="Compact"/>
              <w:jc w:val="left"/>
            </w:pPr>
            <w:r>
              <w:t xml:space="preserve">650,000</w:t>
            </w:r>
          </w:p>
        </w:tc>
      </w:tr>
      <w:tr>
        <w:tc>
          <w:tcPr/>
          <w:p>
            <w:pPr>
              <w:pStyle w:val="Compact"/>
              <w:jc w:val="left"/>
            </w:pPr>
            <w:r>
              <w:t xml:space="preserve">Ongoing Support &amp; Maintenance</w:t>
            </w:r>
          </w:p>
        </w:tc>
        <w:tc>
          <w:tcPr/>
          <w:p>
            <w:pPr>
              <w:pStyle w:val="Compact"/>
              <w:jc w:val="left"/>
            </w:pPr>
            <w:r>
              <w:t xml:space="preserve">Monthly model retraining, performance monitoring, and technical consultation for the Data Scientist engagement.</w:t>
            </w:r>
          </w:p>
        </w:tc>
        <w:tc>
          <w:tcPr/>
          <w:p>
            <w:pPr>
              <w:pStyle w:val="Compact"/>
              <w:jc w:val="left"/>
            </w:pPr>
            <w:r>
              <w:t xml:space="preserve">Monthly</w:t>
            </w:r>
          </w:p>
        </w:tc>
        <w:tc>
          <w:tcPr/>
          <w:p>
            <w:pPr>
              <w:pStyle w:val="Compact"/>
              <w:jc w:val="left"/>
            </w:pPr>
            <w:r>
              <w:t xml:space="preserve">225,000 / month</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(PKR)</w:t>
            </w:r>
          </w:p>
        </w:tc>
      </w:tr>
      <w:tr>
        <w:tc>
          <w:tcPr/>
          <w:p>
            <w:pPr>
              <w:pStyle w:val="Compact"/>
              <w:jc w:val="left"/>
            </w:pPr>
            <w:r>
              <w:t xml:space="preserve">Initial Data Audit &amp; Assessment</w:t>
            </w:r>
          </w:p>
        </w:tc>
        <w:tc>
          <w:tcPr/>
          <w:p>
            <w:pPr>
              <w:pStyle w:val="Compact"/>
              <w:jc w:val="left"/>
            </w:pPr>
            <w:r>
              <w:t xml:space="preserve">185,000</w:t>
            </w:r>
          </w:p>
        </w:tc>
      </w:tr>
      <w:tr>
        <w:tc>
          <w:tcPr/>
          <w:p>
            <w:pPr>
              <w:pStyle w:val="Compact"/>
              <w:jc w:val="left"/>
            </w:pPr>
            <w:r>
              <w:t xml:space="preserve">Machine Learning Model Development</w:t>
            </w:r>
          </w:p>
        </w:tc>
        <w:tc>
          <w:tcPr/>
          <w:p>
            <w:pPr>
              <w:pStyle w:val="Compact"/>
              <w:jc w:val="left"/>
            </w:pPr>
            <w:r>
              <w:t xml:space="preserve">1,250,000</w:t>
            </w:r>
          </w:p>
        </w:tc>
      </w:tr>
      <w:tr>
        <w:tc>
          <w:tcPr/>
          <w:p>
            <w:pPr>
              <w:pStyle w:val="Compact"/>
              <w:jc w:val="left"/>
            </w:pPr>
            <w:r>
              <w:t xml:space="preserve">Data Pipeline Architecture</w:t>
            </w:r>
          </w:p>
        </w:tc>
        <w:tc>
          <w:tcPr/>
          <w:p>
            <w:pPr>
              <w:pStyle w:val="Compact"/>
              <w:jc w:val="left"/>
            </w:pPr>
            <w:r>
              <w:t xml:space="preserve">875,000</w:t>
            </w:r>
          </w:p>
        </w:tc>
      </w:tr>
      <w:tr>
        <w:tc>
          <w:tcPr/>
          <w:p>
            <w:pPr>
              <w:pStyle w:val="Compact"/>
              <w:jc w:val="left"/>
            </w:pPr>
            <w:r>
              <w:t xml:space="preserve">Statistical Analysis &amp; Reporting</w:t>
            </w:r>
          </w:p>
        </w:tc>
        <w:tc>
          <w:tcPr/>
          <w:p>
            <w:pPr>
              <w:pStyle w:val="Compact"/>
              <w:jc w:val="left"/>
            </w:pPr>
            <w:r>
              <w:t xml:space="preserve">525,000</w:t>
            </w:r>
          </w:p>
        </w:tc>
      </w:tr>
      <w:tr>
        <w:tc>
          <w:tcPr/>
          <w:p>
            <w:pPr>
              <w:pStyle w:val="Compact"/>
              <w:jc w:val="left"/>
            </w:pPr>
            <w:r>
              <w:t xml:space="preserve">Model Deployment &amp; MLOps</w:t>
            </w:r>
          </w:p>
        </w:tc>
        <w:tc>
          <w:tcPr/>
          <w:p>
            <w:pPr>
              <w:pStyle w:val="Compact"/>
              <w:jc w:val="left"/>
            </w:pPr>
            <w:r>
              <w:t xml:space="preserve">650,000</w:t>
            </w:r>
          </w:p>
        </w:tc>
      </w:tr>
      <w:tr>
        <w:tc>
          <w:tcPr/>
          <w:p>
            <w:pPr>
              <w:pStyle w:val="Compact"/>
              <w:jc w:val="left"/>
            </w:pPr>
            <w:r>
              <w:t xml:space="preserve">Ongoing Support (3-month commitment)</w:t>
            </w:r>
          </w:p>
        </w:tc>
        <w:tc>
          <w:tcPr/>
          <w:p>
            <w:pPr>
              <w:pStyle w:val="Compact"/>
              <w:jc w:val="left"/>
            </w:pPr>
            <w:r>
              <w:t xml:space="preserve">675,000</w:t>
            </w:r>
          </w:p>
        </w:tc>
      </w:tr>
      <w:tr>
        <w:tc>
          <w:tcPr/>
          <w:p>
            <w:pPr>
              <w:pStyle w:val="Compact"/>
              <w:jc w:val="left"/>
            </w:pPr>
            <w:r>
              <w:t xml:space="preserve">Applicable GST (18%)</w:t>
            </w:r>
          </w:p>
        </w:tc>
        <w:tc>
          <w:tcPr/>
          <w:p>
            <w:pPr>
              <w:pStyle w:val="Compact"/>
              <w:jc w:val="left"/>
            </w:pPr>
            <w:r>
              <w:t xml:space="preserve">604,500</w:t>
            </w:r>
          </w:p>
        </w:tc>
      </w:tr>
      <w:tr>
        <w:tc>
          <w:tcPr/>
          <w:p>
            <w:pPr>
              <w:pStyle w:val="Compact"/>
              <w:jc w:val="left"/>
            </w:pPr>
            <w:r>
              <w:t xml:space="preserve">Total Quotation Estimate (PKR)</w:t>
            </w:r>
          </w:p>
        </w:tc>
        <w:tc>
          <w:tcPr/>
          <w:p>
            <w:pPr>
              <w:pStyle w:val="Compact"/>
              <w:jc w:val="left"/>
            </w:pPr>
            <w:r>
              <w:t xml:space="preserve">4,764,500</w:t>
            </w:r>
          </w:p>
        </w:tc>
      </w:tr>
      <w:tr>
        <w:tc>
          <w:tcPr/>
          <w:p>
            <w:pPr>
              <w:pStyle w:val="Compact"/>
              <w:jc w:val="left"/>
            </w:pPr>
            <w:r>
              <w:t xml:space="preserve">Total Quotation Estimate (USD Approx.)</w:t>
            </w:r>
          </w:p>
        </w:tc>
        <w:tc>
          <w:tcPr/>
          <w:p>
            <w:pPr>
              <w:pStyle w:val="Compact"/>
              <w:jc w:val="left"/>
            </w:pPr>
            <w:r>
              <w:t xml:space="preserve">$17,050</w:t>
            </w:r>
          </w:p>
        </w:tc>
      </w:tr>
    </w:tbl>
    <w:bookmarkEnd w:id="23"/>
    <w:bookmarkStart w:id="24" w:name="data-scientist-profile-qualifications"/>
    <w:p>
      <w:pPr>
        <w:pStyle w:val="Heading2"/>
      </w:pPr>
      <w:r>
        <w:t xml:space="preserve">4. Data Scientist Profile &amp; Qualifications</w:t>
      </w:r>
    </w:p>
    <w:p>
      <w:pPr>
        <w:pStyle w:val="FirstParagraph"/>
      </w:pPr>
      <w:r>
        <w:t xml:space="preserve">The</w:t>
      </w:r>
      <w:r>
        <w:t xml:space="preserve"> </w:t>
      </w:r>
      <w:r>
        <w:t xml:space="preserve">Data Scientist</w:t>
      </w:r>
      <w:r>
        <w:t xml:space="preserve"> </w:t>
      </w:r>
      <w:r>
        <w:t xml:space="preserve">assigned to this project will possess a minimum of five (5) years of professional experience in data science, machine learning, and statistical modeling. The candidate will hold a Master's degree or PhD in Computer Science, Statistics, Applied Mathematics, or a related quantitative field. The Data Scientist will be proficient in Python, R, SQL, and at least one deep learning framework. Additionally, the professional will have demonstrated experience working with large-scale datasets, cloud-based computing environments, and cross-functional teams. The Data Scientist will be based in or regularly available in</w:t>
      </w:r>
      <w:r>
        <w:t xml:space="preserve"> </w:t>
      </w:r>
      <w:r>
        <w:t xml:space="preserve">Pakistan Islamabad</w:t>
      </w:r>
      <w:r>
        <w:t xml:space="preserve">, ensuring local time-zone alignment and the ability to conduct in-person meetings at the client's premises when required.</w:t>
      </w:r>
    </w:p>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a period of thirty (30) calendar days from the date of issue. Any engagement initiated beyond this period will require a revised Quotation Estimate reflecting current market rates for Data Scientist services in Pakistan Islamabad.</w:t>
      </w:r>
    </w:p>
    <w:p>
      <w:pPr>
        <w:numPr>
          <w:ilvl w:val="0"/>
          <w:numId w:val="1001"/>
        </w:numPr>
        <w:pStyle w:val="Compact"/>
      </w:pPr>
      <w:r>
        <w:t xml:space="preserve">Payment terms: 40% advance upon contract signing, 35% upon completion of model development phase, and 25% upon final delivery and acceptance. All payments shall be made in Pakistani Rupees (PKR) via bank transfer to the account specified by TechBridge Analytics Pvt. Ltd.</w:t>
      </w:r>
    </w:p>
    <w:p>
      <w:pPr>
        <w:numPr>
          <w:ilvl w:val="0"/>
          <w:numId w:val="1001"/>
        </w:numPr>
        <w:pStyle w:val="Compact"/>
      </w:pPr>
      <w:r>
        <w:t xml:space="preserve">The Data Scientist will adhere to all data privacy regulations applicable in Pakistan, including the Pakistan Telecommunication Authority (PTA) guidelines and any sector-specific data protection laws relevant to the client's industry.</w:t>
      </w:r>
    </w:p>
    <w:p>
      <w:pPr>
        <w:numPr>
          <w:ilvl w:val="0"/>
          <w:numId w:val="1001"/>
        </w:numPr>
        <w:pStyle w:val="Compact"/>
      </w:pPr>
      <w:r>
        <w:t xml:space="preserve">All intellectual property developed specifically for the client under this engagement shall be transferred to the client upon full payment. General methodologies, tools, and frameworks pre-existing to this engagement remain the property of TechBridge Analytics.</w:t>
      </w:r>
    </w:p>
    <w:p>
      <w:pPr>
        <w:numPr>
          <w:ilvl w:val="0"/>
          <w:numId w:val="1001"/>
        </w:numPr>
        <w:pStyle w:val="Compact"/>
      </w:pPr>
      <w:r>
        <w:t xml:space="preserve">Any scope changes or additional requirements beyond the original Quotation Estimate will be subject to a formal change order and supplementary pricing approved in writing by both parties.</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contractual negotiation.</w:t>
      </w:r>
    </w:p>
    <w:p>
      <w:pPr>
        <w:numPr>
          <w:ilvl w:val="0"/>
          <w:numId w:val="1001"/>
        </w:numPr>
        <w:pStyle w:val="Compact"/>
      </w:pPr>
      <w:r>
        <w:t xml:space="preserve">Force majeure events, including but not limited to natural disasters, government-mandated lockdowns, or infrastructure failures in the Islamabad region, may affect project timelines. Both parties agree to negotiate in good faith to mitigate such impacts.</w:t>
      </w:r>
    </w:p>
    <w:p>
      <w:pPr>
        <w:numPr>
          <w:ilvl w:val="0"/>
          <w:numId w:val="1001"/>
        </w:numPr>
        <w:pStyle w:val="Compact"/>
      </w:pPr>
      <w:r>
        <w:t xml:space="preserve">Confidentiality: All data, business information, and proprietary materials shared during the engagement will be treated as strictly confidential by the Data Scientist and TechBridge Analytics personnel.</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pricing outlined for the Data Scientist engagement in Pakistan Islamabad. This signature does not constitute a final contract but serves as an expression of intent to proceed with the formal contracting process.</w:t>
      </w:r>
    </w:p>
    <w:p>
      <w:pPr>
        <w:pStyle w:val="BodyText"/>
      </w:pPr>
      <w:r>
        <w:rPr>
          <w:bCs/>
          <w:b/>
        </w:rPr>
        <w:t xml:space="preserve">For TechBridge Analytics Pvt. Ltd.</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This Quotation Estimate document was prepared exclusively for the client named above and is not transferable. All rates are quoted in Pakistani Rupees (PKR) and are subject to revision based on exchange rate fluctuations for the USD equivalent. TechBridge Analytics Pvt. Ltd., Islamabad, Pakistan — NTN: 1234567-8 — This document is the property of TechBridge Analytics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Pakistan Islamabad</dc:title>
  <dc:creator/>
  <dc:language>en</dc:language>
  <cp:keywords/>
  <dcterms:created xsi:type="dcterms:W3CDTF">2026-10-10T02:56:59Z</dcterms:created>
  <dcterms:modified xsi:type="dcterms:W3CDTF">2026-10-10T02:56:59Z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