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Data Scientist Services — Saudi Arabia, Riyadh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QTE-DS-2025-0472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Service Location</w:t>
            </w:r>
          </w:p>
        </w:tc>
        <w:tc>
          <w:tcPr>
            <w:gridSpan w:val="3"/>
          </w:tcPr>
          <w:p>
            <w:pPr>
              <w:pStyle w:val="Compact"/>
              <w:jc w:val="left"/>
            </w:pPr>
            <w:r>
              <w:t xml:space="preserve">Riyadh, Saudi Arabia — Kingdom of Saudi Arabia</w:t>
            </w:r>
          </w:p>
        </w:tc>
      </w:tr>
      <w:tr>
        <w:tc>
          <w:tcPr/>
          <w:p>
            <w:pPr>
              <w:pStyle w:val="Compact"/>
              <w:jc w:val="left"/>
            </w:pPr>
            <w:r>
              <w:t xml:space="preserve">Prepared By</w:t>
            </w:r>
          </w:p>
        </w:tc>
        <w:tc>
          <w:tcPr/>
          <w:p>
            <w:pPr>
              <w:pStyle w:val="Compact"/>
              <w:jc w:val="left"/>
            </w:pPr>
            <w:r>
              <w:t xml:space="preserve">Advanced Analytics Solutions LLC</w:t>
            </w:r>
          </w:p>
        </w:tc>
        <w:tc>
          <w:tcPr/>
          <w:p>
            <w:pPr>
              <w:pStyle w:val="Compact"/>
              <w:jc w:val="left"/>
            </w:pPr>
            <w:r>
              <w:t xml:space="preserve">Client</w:t>
            </w:r>
          </w:p>
        </w:tc>
        <w:tc>
          <w:tcPr/>
          <w:p>
            <w:pPr>
              <w:pStyle w:val="Compact"/>
              <w:jc w:val="left"/>
            </w:pPr>
            <w:r>
              <w:t xml:space="preserve">[Client Name / Organization]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Advanced Analytics Solutions LLC to provide comprehensive</w:t>
      </w:r>
      <w:r>
        <w:t xml:space="preserve"> </w:t>
      </w:r>
      <w:r>
        <w:t xml:space="preserve">Data Scientist</w:t>
      </w:r>
      <w:r>
        <w:t xml:space="preserve"> </w:t>
      </w:r>
      <w:r>
        <w:t xml:space="preserve">consulting and implementation services tailored for operations within</w:t>
      </w:r>
      <w:r>
        <w:t xml:space="preserve"> </w:t>
      </w:r>
      <w:r>
        <w:t xml:space="preserve">Saudi Arabia, Riyadh</w:t>
      </w:r>
      <w:r>
        <w:t xml:space="preserve">. The scope of engagement encompasses end-to-end data strategy, machine learning model development, predictive analytics deployment, and ongoing technical support aligned with the Kingdom's Vision 2030 digital transformation objectives. All deliverables, on-site consultations, and remote collaboration sessions will be conducted in accordance with the regulatory and data governance frameworks established by the Saudi Data and AI Authority (SDAIA) and the National Cybersecurity Authority (NCA).</w:t>
      </w:r>
    </w:p>
    <w:bookmarkEnd w:id="21"/>
    <w:bookmarkStart w:id="22" w:name="scope-of-work-data-scientist-engagement"/>
    <w:p>
      <w:pPr>
        <w:pStyle w:val="Heading2"/>
      </w:pPr>
      <w:r>
        <w:t xml:space="preserve">2. Scope of Work — Data Scientist Engagement</w:t>
      </w:r>
    </w:p>
    <w:p>
      <w:pPr>
        <w:pStyle w:val="FirstParagraph"/>
      </w:pPr>
      <w:r>
        <w:t xml:space="preserve">The following services constitute the complete scope under this Quotation Estimate for the Data Scientist role in Saudi Arabia, Riyadh:</w:t>
      </w:r>
    </w:p>
    <w:p>
      <w:pPr>
        <w:numPr>
          <w:ilvl w:val="0"/>
          <w:numId w:val="1001"/>
        </w:numPr>
        <w:pStyle w:val="Compact"/>
      </w:pPr>
      <w:r>
        <w:rPr>
          <w:bCs/>
          <w:b/>
        </w:rPr>
        <w:t xml:space="preserve">Data Strategy &amp; Architecture Design:</w:t>
      </w:r>
      <w:r>
        <w:t xml:space="preserve"> </w:t>
      </w:r>
      <w:r>
        <w:t xml:space="preserve">Development of a scalable data architecture blueprint specific to the client's operational environment in Riyadh, including cloud infrastructure selection (AWS Middle East – Bahrain region or Azure Saudi Arabia – Jeddah region) and on-premise hybrid solutions compliant with Saudi data residency regulations.</w:t>
      </w:r>
    </w:p>
    <w:p>
      <w:pPr>
        <w:numPr>
          <w:ilvl w:val="0"/>
          <w:numId w:val="1001"/>
        </w:numPr>
        <w:pStyle w:val="Compact"/>
      </w:pPr>
      <w:r>
        <w:rPr>
          <w:bCs/>
          <w:b/>
        </w:rPr>
        <w:t xml:space="preserve">Machine Learning &amp; AI Model Development:</w:t>
      </w:r>
      <w:r>
        <w:t xml:space="preserve"> </w:t>
      </w:r>
      <w:r>
        <w:t xml:space="preserve">Design, training, validation, and deployment of supervised and unsupervised learning models for demand forecasting, customer segmentation, fraud detection, and operational optimization. All models will be benchmarked against industry standards relevant to the Saudi market.</w:t>
      </w:r>
    </w:p>
    <w:p>
      <w:pPr>
        <w:numPr>
          <w:ilvl w:val="0"/>
          <w:numId w:val="1001"/>
        </w:numPr>
        <w:pStyle w:val="Compact"/>
      </w:pPr>
      <w:r>
        <w:rPr>
          <w:bCs/>
          <w:b/>
        </w:rPr>
        <w:t xml:space="preserve">Predictive Analytics &amp; Business Intelligence:</w:t>
      </w:r>
      <w:r>
        <w:t xml:space="preserve"> </w:t>
      </w:r>
      <w:r>
        <w:t xml:space="preserve">Construction of interactive dashboards and reporting pipelines using tools such as Power BI, Tableau, and custom Python-based visualizations to deliver actionable insights to C-suite stakeholders in Riyadh.</w:t>
      </w:r>
    </w:p>
    <w:p>
      <w:pPr>
        <w:numPr>
          <w:ilvl w:val="0"/>
          <w:numId w:val="1001"/>
        </w:numPr>
        <w:pStyle w:val="Compact"/>
      </w:pPr>
      <w:r>
        <w:rPr>
          <w:bCs/>
          <w:b/>
        </w:rPr>
        <w:t xml:space="preserve">Natural Language Processing (NLP) Solutions:</w:t>
      </w:r>
      <w:r>
        <w:t xml:space="preserve"> </w:t>
      </w:r>
      <w:r>
        <w:t xml:space="preserve">Development of Arabic-language NLP pipelines for document processing, sentiment analysis, and automated customer service chatbots, ensuring full compatibility with Modern Standard Arabic and local dialects prevalent in Saudi Arabia.</w:t>
      </w:r>
    </w:p>
    <w:p>
      <w:pPr>
        <w:numPr>
          <w:ilvl w:val="0"/>
          <w:numId w:val="1001"/>
        </w:numPr>
        <w:pStyle w:val="Compact"/>
      </w:pPr>
      <w:r>
        <w:rPr>
          <w:bCs/>
          <w:b/>
        </w:rPr>
        <w:t xml:space="preserve">Data Governance &amp; Compliance:</w:t>
      </w:r>
      <w:r>
        <w:t xml:space="preserve"> </w:t>
      </w:r>
      <w:r>
        <w:t xml:space="preserve">Implementation of data quality frameworks, lineage tracking, and access control mechanisms in strict adherence to the Saudi Personal Data Protection Law (PDPL) and SDAIA data classification standards.</w:t>
      </w:r>
    </w:p>
    <w:p>
      <w:pPr>
        <w:numPr>
          <w:ilvl w:val="0"/>
          <w:numId w:val="1001"/>
        </w:numPr>
        <w:pStyle w:val="Compact"/>
      </w:pPr>
      <w:r>
        <w:rPr>
          <w:bCs/>
          <w:b/>
        </w:rPr>
        <w:t xml:space="preserve">Knowledge Transfer &amp; Training:</w:t>
      </w:r>
      <w:r>
        <w:t xml:space="preserve"> </w:t>
      </w:r>
      <w:r>
        <w:t xml:space="preserve">A minimum of 40 hours of hands-on training sessions for the client's internal data team, conducted on-site in Riyadh, covering advanced Data Scientist methodologies, MLOps best practices, and ethical AI governance.</w:t>
      </w:r>
    </w:p>
    <w:p>
      <w:pPr>
        <w:numPr>
          <w:ilvl w:val="0"/>
          <w:numId w:val="1001"/>
        </w:numPr>
        <w:pStyle w:val="Compact"/>
      </w:pPr>
      <w:r>
        <w:rPr>
          <w:bCs/>
          <w:b/>
        </w:rPr>
        <w:t xml:space="preserve">Ongoing Technical Support &amp; Maintenance:</w:t>
      </w:r>
      <w:r>
        <w:t xml:space="preserve"> </w:t>
      </w:r>
      <w:r>
        <w:t xml:space="preserve">A 12-month post-deployment support package including model retraining, performance monitoring, and quarterly strategy reviews.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Data Strategy &amp; Architecture Consulting</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ML/AI Model Development &amp; Deployment</w:t>
            </w:r>
          </w:p>
        </w:tc>
        <w:tc>
          <w:tcPr/>
          <w:p>
            <w:pPr>
              <w:pStyle w:val="Compact"/>
              <w:jc w:val="left"/>
            </w:pPr>
            <w:r>
              <w:t xml:space="preserve">8 weeks</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03</w:t>
            </w:r>
          </w:p>
        </w:tc>
        <w:tc>
          <w:tcPr/>
          <w:p>
            <w:pPr>
              <w:pStyle w:val="Compact"/>
              <w:jc w:val="left"/>
            </w:pPr>
            <w:r>
              <w:t xml:space="preserve">Predictive Analytics &amp; BI Dashboard Setup</w:t>
            </w:r>
          </w:p>
        </w:tc>
        <w:tc>
          <w:tcPr/>
          <w:p>
            <w:pPr>
              <w:pStyle w:val="Compact"/>
              <w:jc w:val="left"/>
            </w:pPr>
            <w:r>
              <w:t xml:space="preserve">4 weeks</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Arabic NLP Pipeline Development</w:t>
            </w:r>
          </w:p>
        </w:tc>
        <w:tc>
          <w:tcPr/>
          <w:p>
            <w:pPr>
              <w:pStyle w:val="Compact"/>
              <w:jc w:val="left"/>
            </w:pPr>
            <w:r>
              <w:t xml:space="preserve">6 weeks</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Data Governance &amp; PDPL Compliance Implementation</w:t>
            </w:r>
          </w:p>
        </w:tc>
        <w:tc>
          <w:tcPr/>
          <w:p>
            <w:pPr>
              <w:pStyle w:val="Compact"/>
              <w:jc w:val="left"/>
            </w:pPr>
            <w:r>
              <w:t xml:space="preserve">3 weeks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Knowledge Transfer &amp; Team Training (Riyadh, On-site)</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12-Month Post-Deployment Support &amp; Maintenance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Travel, Accommodation &amp; Logistics (Riyadh, Saudi Arabia)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1,714,000</w:t>
            </w:r>
          </w:p>
        </w:tc>
      </w:tr>
      <w:tr>
        <w:tc>
          <w:tcPr>
            <w:gridSpan w:val="4"/>
          </w:tcPr>
          <w:p>
            <w:pPr>
              <w:pStyle w:val="Compact"/>
              <w:jc w:val="right"/>
            </w:pPr>
            <w:r>
              <w:t xml:space="preserve">VAT (15% — Saudi Arabia)</w:t>
            </w:r>
          </w:p>
        </w:tc>
        <w:tc>
          <w:tcPr/>
          <w:p>
            <w:pPr>
              <w:pStyle w:val="Compact"/>
              <w:jc w:val="left"/>
            </w:pPr>
            <w:r>
              <w:t xml:space="preserve">257,100</w:t>
            </w:r>
          </w:p>
        </w:tc>
      </w:tr>
      <w:tr>
        <w:tc>
          <w:tcPr>
            <w:gridSpan w:val="4"/>
          </w:tcPr>
          <w:p>
            <w:pPr>
              <w:pStyle w:val="Compact"/>
              <w:jc w:val="right"/>
            </w:pPr>
            <w:r>
              <w:t xml:space="preserve">Grand Total</w:t>
            </w:r>
          </w:p>
        </w:tc>
        <w:tc>
          <w:tcPr/>
          <w:p>
            <w:pPr>
              <w:pStyle w:val="Compact"/>
              <w:jc w:val="left"/>
            </w:pPr>
            <w:r>
              <w:t xml:space="preserve">1,971,100</w:t>
            </w:r>
          </w:p>
        </w:tc>
      </w:tr>
    </w:tbl>
    <w:bookmarkEnd w:id="23"/>
    <w:bookmarkStart w:id="24" w:name="terms-conditions"/>
    <w:p>
      <w:pPr>
        <w:pStyle w:val="Heading2"/>
      </w:pPr>
      <w:r>
        <w:t xml:space="preserve">4. Terms &amp; Conditions</w:t>
      </w:r>
    </w:p>
    <w:p>
      <w:pPr>
        <w:pStyle w:val="FirstParagraph"/>
      </w:pPr>
      <w:r>
        <w:rPr>
          <w:bCs/>
          <w:b/>
        </w:rPr>
        <w:t xml:space="preserve">4.1 Payment Schedule:</w:t>
      </w:r>
      <w:r>
        <w:t xml:space="preserve"> </w:t>
      </w:r>
      <w:r>
        <w:t xml:space="preserve">Payment shall be structured as follows: 30% advance upon acceptance of this Quotation Estimate, 40% upon completion of core Data Scientist deliverables (Items 01–04), and 30% upon final acceptance and handover. All payments are due within 15 business days of invoice issuance and shall be remitted in Saudi Riyal (SAR) to the designated bank account in Riyadh.</w:t>
      </w:r>
    </w:p>
    <w:p>
      <w:pPr>
        <w:pStyle w:val="BodyText"/>
      </w:pPr>
      <w:r>
        <w:rPr>
          <w:bCs/>
          <w:b/>
        </w:rPr>
        <w:t xml:space="preserve">4.2 Validity:</w:t>
      </w:r>
      <w:r>
        <w:t xml:space="preserve"> </w:t>
      </w:r>
      <w:r>
        <w:t xml:space="preserve">This Quotation Estimate remains valid for thirty (30) calendar days from the date of issue. Beyond this period, pricing may be subject to revision based on market conditions, resource availability, and any changes in Saudi Arabia's regulatory landscape.</w:t>
      </w:r>
    </w:p>
    <w:p>
      <w:pPr>
        <w:pStyle w:val="BodyText"/>
      </w:pPr>
      <w:r>
        <w:rPr>
          <w:bCs/>
          <w:b/>
        </w:rPr>
        <w:t xml:space="preserve">4.3 Data Confidentiality:</w:t>
      </w:r>
      <w:r>
        <w:t xml:space="preserve"> </w:t>
      </w:r>
      <w:r>
        <w:t xml:space="preserve">All data processed, stored, or transmitted during the engagement shall remain the exclusive property of the client. The Data Scientist team and all subcontractors are bound by a mutual Non-Disclosure Agreement (NDA) and shall comply with the Saudi PDPL and SDAIA data protection mandates. No data shall be transferred outside the Kingdom of Saudi Arabia without explicit written consent.</w:t>
      </w:r>
    </w:p>
    <w:p>
      <w:pPr>
        <w:pStyle w:val="BodyText"/>
      </w:pPr>
      <w:r>
        <w:rPr>
          <w:bCs/>
          <w:b/>
        </w:rPr>
        <w:t xml:space="preserve">4.4 Intellectual Property:</w:t>
      </w:r>
      <w:r>
        <w:t xml:space="preserve"> </w:t>
      </w:r>
      <w:r>
        <w:t xml:space="preserve">Upon full payment, all custom models, code, documentation, and analytical frameworks developed under this engagement shall be the sole intellectual property of the client. The service provider retains the right to reference the engagement in anonymized case studies, subject to client approval.</w:t>
      </w:r>
    </w:p>
    <w:p>
      <w:pPr>
        <w:pStyle w:val="BodyText"/>
      </w:pPr>
      <w:r>
        <w:rPr>
          <w:bCs/>
          <w:b/>
        </w:rPr>
        <w:t xml:space="preserve">4.5 Force Majeure:</w:t>
      </w:r>
      <w:r>
        <w:t xml:space="preserve"> </w:t>
      </w:r>
      <w:r>
        <w:t xml:space="preserve">Neither party shall be liable for delays or non-performance resulting from events beyond reasonable control, including but not limited to natural disasters, government-mandated shutdowns, or changes in Saudi Arabian law or regulation.</w:t>
      </w:r>
    </w:p>
    <w:p>
      <w:pPr>
        <w:pStyle w:val="BodyText"/>
      </w:pPr>
      <w:r>
        <w:rPr>
          <w:bCs/>
          <w:b/>
        </w:rPr>
        <w:t xml:space="preserve">4.6 Governing Law:</w:t>
      </w:r>
      <w:r>
        <w:t xml:space="preserve"> </w:t>
      </w:r>
      <w:r>
        <w:t xml:space="preserve">This Quotation Estimate and any resulting contract shall be governed by and construed in accordance with the laws of the Kingdom of Saudi Arabia. Any disputes shall be resolved through arbitration in Riyadh under the rules of the Saudi Center for Commercial Arbitration (SCCA).</w:t>
      </w:r>
    </w:p>
    <w:p>
      <w:pPr>
        <w:pStyle w:val="BodyText"/>
      </w:pPr>
      <w:r>
        <w:rPr>
          <w:bCs/>
          <w:b/>
        </w:rPr>
        <w:t xml:space="preserve">4.7 Amendments:</w:t>
      </w:r>
      <w:r>
        <w:t xml:space="preserve"> </w:t>
      </w:r>
      <w:r>
        <w:t xml:space="preserve">Any modifications to the scope, timeline, or cost outlined in this Quotation Estimate must be documented in a formal change order signed by both parties prior to implementation.</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the terms, scope, and pricing outlined in this Quotation Estimate for Data Scientist services in Saudi Arabia, Riyadh.</w:t>
      </w:r>
    </w:p>
    <w:p>
      <w:pPr>
        <w:pStyle w:val="BodyText"/>
      </w:pPr>
      <w:r>
        <w:rPr>
          <w:bCs/>
          <w:b/>
        </w:rPr>
        <w:t xml:space="preserve">For: Advanced Analytics Solutions LLC</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Note:</w:t>
      </w:r>
      <w:r>
        <w:t xml:space="preserve"> </w:t>
      </w:r>
      <w:r>
        <w:t xml:space="preserve">This Quotation Estimate is a non-binding document until formally converted into a service agreement by both parties. All figures are quoted in Saudi Riyal (SAR) and are inclusive of applicable local taxes as specified. For inquiries regarding this Data Scientist engagement in Saudi Arabia, Riyadh, please contact our business development team at</w:t>
      </w:r>
      <w:r>
        <w:t xml:space="preserve"> </w:t>
      </w:r>
      <w:r>
        <w:rPr>
          <w:bCs/>
          <w:b/>
        </w:rPr>
        <w:t xml:space="preserve">business@advancedanalytics-sa.com</w:t>
      </w:r>
      <w:r>
        <w:t xml:space="preserve"> </w:t>
      </w:r>
      <w:r>
        <w:t xml:space="preserve">or call</w:t>
      </w:r>
      <w:r>
        <w:t xml:space="preserve"> </w:t>
      </w:r>
      <w:r>
        <w:rPr>
          <w:bCs/>
          <w:b/>
        </w:rPr>
        <w:t xml:space="preserve">+966 11 XXX XXXX</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Saudi Arabia Riyadh</dc:title>
  <dc:creator/>
  <dc:language>en</dc:language>
  <cp:keywords/>
  <dcterms:created xsi:type="dcterms:W3CDTF">2026-10-10T02:39:25Z</dcterms:created>
  <dcterms:modified xsi:type="dcterms:W3CDTF">2026-10-10T02:39:25Z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