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Data</w:t>
      </w:r>
      <w:r>
        <w:t xml:space="preserve"> </w:t>
      </w:r>
      <w:r>
        <w:t xml:space="preserve">Scientist</w:t>
      </w:r>
      <w:r>
        <w:t xml:space="preserve"> </w:t>
      </w:r>
      <w:r>
        <w:t xml:space="preserve">Services</w:t>
      </w:r>
      <w:r>
        <w:t xml:space="preserve"> </w:t>
      </w:r>
      <w:r>
        <w:t xml:space="preserve">-</w:t>
      </w:r>
      <w:r>
        <w:t xml:space="preserve"> </w:t>
      </w:r>
      <w:r>
        <w:t xml:space="preserve">Spain</w:t>
      </w:r>
      <w:r>
        <w:t xml:space="preserve"> </w:t>
      </w:r>
      <w:r>
        <w:t xml:space="preserve">Madrid</w:t>
      </w:r>
    </w:p>
    <w:bookmarkStart w:id="20" w:name="quotation-estimate"/>
    <w:p>
      <w:pPr>
        <w:pStyle w:val="Heading1"/>
      </w:pPr>
      <w:r>
        <w:t xml:space="preserve">QUOTATION ESTIMATE</w:t>
      </w:r>
    </w:p>
    <w:p>
      <w:pPr>
        <w:pStyle w:val="FirstParagraph"/>
      </w:pPr>
      <w:r>
        <w:t xml:space="preserve">Professional Data Scientist Services — Spain Madrid</w:t>
      </w:r>
    </w:p>
    <w:p>
      <w:pPr>
        <w:pStyle w:val="BodyText"/>
      </w:pPr>
      <w:r>
        <w:t xml:space="preserve">Ref: QE-DSM-2025-0472 | Issued in Madrid, Spain</w:t>
      </w:r>
    </w:p>
    <w:bookmarkEnd w:id="20"/>
    <w:p>
      <w:pPr>
        <w:pStyle w:val="BodyText"/>
      </w:pPr>
      <w:r>
        <w:rPr>
          <w:bCs/>
          <w:b/>
        </w:rPr>
        <w:t xml:space="preserve">Prepared By:</w:t>
      </w:r>
      <w:r>
        <w:t xml:space="preserve"> </w:t>
      </w:r>
      <w:r>
        <w:t xml:space="preserve">DataBridge Analytics S.L.</w:t>
      </w:r>
      <w:r>
        <w:br/>
      </w:r>
      <w:r>
        <w:t xml:space="preserve">Calle de Serrano 125, 3ºB</w:t>
      </w:r>
      <w:r>
        <w:br/>
      </w:r>
      <w:r>
        <w:t xml:space="preserve">28006 Madrid, Spain</w:t>
      </w:r>
      <w:r>
        <w:br/>
      </w:r>
      <w:r>
        <w:t xml:space="preserve">CIF: B-87654321</w:t>
      </w:r>
      <w:r>
        <w:br/>
      </w:r>
      <w:r>
        <w:t xml:space="preserve">Tel: +34 91 555 0142</w:t>
      </w:r>
      <w:r>
        <w:br/>
      </w:r>
      <w:r>
        <w:t xml:space="preserve">Email: quotes@databridge-es.com</w:t>
      </w:r>
    </w:p>
    <w:p>
      <w:pPr>
        <w:pStyle w:val="BodyText"/>
      </w:pPr>
      <w:r>
        <w:rPr>
          <w:bCs/>
          <w:b/>
        </w:rPr>
        <w:t xml:space="preserve">Prepared For:</w:t>
      </w:r>
      <w:r>
        <w:t xml:space="preserve"> </w:t>
      </w:r>
      <w:r>
        <w:t xml:space="preserve">[Client Company Name]</w:t>
      </w:r>
      <w:r>
        <w:br/>
      </w:r>
      <w:r>
        <w:t xml:space="preserve">[Client Address]</w:t>
      </w:r>
      <w:r>
        <w:br/>
      </w:r>
      <w:r>
        <w:t xml:space="preserve">Madrid, Spain</w:t>
      </w:r>
      <w:r>
        <w:br/>
      </w:r>
      <w:r>
        <w:t xml:space="preserve">CIF/NIF: [Client Tax ID]</w:t>
      </w:r>
      <w:r>
        <w:br/>
      </w:r>
      <w:r>
        <w:t xml:space="preserve">Contact: [Client Contact Name]</w:t>
      </w:r>
      <w:r>
        <w:br/>
      </w:r>
      <w:r>
        <w:t xml:space="preserve">Email: [Client Email]</w:t>
      </w:r>
    </w:p>
    <w:p>
      <w:pPr>
        <w:pStyle w:val="BodyText"/>
      </w:pPr>
      <w:r>
        <w:rPr>
          <w:bCs/>
          <w:b/>
        </w:rPr>
        <w:t xml:space="preserve">Quotation Details:</w:t>
      </w:r>
      <w:r>
        <w:t xml:space="preserve"> </w:t>
      </w:r>
      <w:r>
        <w:t xml:space="preserve">Date: 15 June 2025</w:t>
      </w:r>
      <w:r>
        <w:br/>
      </w:r>
      <w:r>
        <w:t xml:space="preserve">Valid Until: 15 July 2025</w:t>
      </w:r>
      <w:r>
        <w:br/>
      </w:r>
      <w:r>
        <w:t xml:space="preserve">Currency: EUR (€)</w:t>
      </w:r>
      <w:r>
        <w:br/>
      </w:r>
      <w:r>
        <w:t xml:space="preserve">Project Code: DSM-2025-0472</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document has been prepared by DataBridge Analytics S.L. to provide a comprehensive and transparent cost breakdown for the engagement of a senior</w:t>
      </w:r>
      <w:r>
        <w:t xml:space="preserve"> </w:t>
      </w:r>
      <w:r>
        <w:t xml:space="preserve">Data Scientist</w:t>
      </w:r>
      <w:r>
        <w:t xml:space="preserve"> </w:t>
      </w:r>
      <w:r>
        <w:t xml:space="preserve">professional to deliver advanced analytics, machine learning, and predictive modelling services to the client. All services described herein will be executed in accordance with the professional standards and regulatory frameworks applicable in</w:t>
      </w:r>
      <w:r>
        <w:t xml:space="preserve"> </w:t>
      </w:r>
      <w:r>
        <w:t xml:space="preserve">Spain Madrid</w:t>
      </w:r>
      <w:r>
        <w:t xml:space="preserve">, including compliance with the Spanish Data Protection Act (LOPDGDD) and the European General Data Protection Regulation (GDPR).</w:t>
      </w:r>
    </w:p>
    <w:p>
      <w:pPr>
        <w:pStyle w:val="BodyText"/>
      </w:pPr>
      <w:r>
        <w:t xml:space="preserve">This</w:t>
      </w:r>
      <w:r>
        <w:t xml:space="preserve"> </w:t>
      </w:r>
      <w:r>
        <w:t xml:space="preserve">Quotation Estimate</w:t>
      </w:r>
      <w:r>
        <w:t xml:space="preserve"> </w:t>
      </w:r>
      <w:r>
        <w:t xml:space="preserve">is a non-binding proposal and does not constitute a contractual obligation until formally accepted in writing by both parties. The pricing and terms outlined below reflect the current market rates for</w:t>
      </w:r>
      <w:r>
        <w:t xml:space="preserve"> </w:t>
      </w:r>
      <w:r>
        <w:t xml:space="preserve">Data Scientist</w:t>
      </w:r>
      <w:r>
        <w:t xml:space="preserve"> </w:t>
      </w:r>
      <w:r>
        <w:t xml:space="preserve">expertise in the</w:t>
      </w:r>
      <w:r>
        <w:t xml:space="preserve"> </w:t>
      </w:r>
      <w:r>
        <w:t xml:space="preserve">Spain Madrid</w:t>
      </w:r>
      <w:r>
        <w:t xml:space="preserve"> </w:t>
      </w:r>
      <w:r>
        <w:t xml:space="preserve">metropolitan area as of the date of issue.</w:t>
      </w:r>
    </w:p>
    <w:bookmarkEnd w:id="21"/>
    <w:bookmarkStart w:id="22" w:name="X643f13e852b1a588327cc0852d6a19d6d618590"/>
    <w:p>
      <w:pPr>
        <w:pStyle w:val="Heading2"/>
      </w:pPr>
      <w:r>
        <w:t xml:space="preserve">2. Scope of Services — Data Scientist Engagement</w:t>
      </w:r>
    </w:p>
    <w:p>
      <w:pPr>
        <w:pStyle w:val="FirstParagraph"/>
      </w:pPr>
      <w:r>
        <w:t xml:space="preserve">The</w:t>
      </w:r>
      <w:r>
        <w:t xml:space="preserve"> </w:t>
      </w:r>
      <w:r>
        <w:t xml:space="preserve">Data Scientist</w:t>
      </w:r>
      <w:r>
        <w:t xml:space="preserve"> </w:t>
      </w:r>
      <w:r>
        <w:t xml:space="preserve">assigned to this project will operate from our Madrid office and will provide the following services over the agreed engagement period:</w:t>
      </w:r>
    </w:p>
    <w:p>
      <w:pPr>
        <w:numPr>
          <w:ilvl w:val="0"/>
          <w:numId w:val="1001"/>
        </w:numPr>
        <w:pStyle w:val="Compact"/>
      </w:pPr>
      <w:r>
        <w:rPr>
          <w:bCs/>
          <w:b/>
        </w:rPr>
        <w:t xml:space="preserve">Data Acquisition &amp; Engineering:</w:t>
      </w:r>
      <w:r>
        <w:t xml:space="preserve"> </w:t>
      </w:r>
      <w:r>
        <w:t xml:space="preserve">Design and implementation of data pipelines to collect, clean, transform, and store structured and unstructured data from multiple sources relevant to the client's business operations in the</w:t>
      </w:r>
      <w:r>
        <w:t xml:space="preserve"> </w:t>
      </w:r>
      <w:r>
        <w:t xml:space="preserve">Spain Madrid</w:t>
      </w:r>
      <w:r>
        <w:t xml:space="preserve"> </w:t>
      </w:r>
      <w:r>
        <w:t xml:space="preserve">market.</w:t>
      </w:r>
    </w:p>
    <w:p>
      <w:pPr>
        <w:numPr>
          <w:ilvl w:val="0"/>
          <w:numId w:val="1001"/>
        </w:numPr>
        <w:pStyle w:val="Compact"/>
      </w:pPr>
      <w:r>
        <w:rPr>
          <w:bCs/>
          <w:b/>
        </w:rPr>
        <w:t xml:space="preserve">Exploratory Data Analysis (EDA):</w:t>
      </w:r>
      <w:r>
        <w:t xml:space="preserve"> </w:t>
      </w:r>
      <w:r>
        <w:t xml:space="preserve">In-depth statistical analysis, visualisation, and pattern identification to uncover actionable business insights and inform strategic decision-making.</w:t>
      </w:r>
    </w:p>
    <w:p>
      <w:pPr>
        <w:numPr>
          <w:ilvl w:val="0"/>
          <w:numId w:val="1001"/>
        </w:numPr>
        <w:pStyle w:val="Compact"/>
      </w:pPr>
      <w:r>
        <w:rPr>
          <w:bCs/>
          <w:b/>
        </w:rPr>
        <w:t xml:space="preserve">Predictive Modelling &amp; Machine Learning:</w:t>
      </w:r>
      <w:r>
        <w:t xml:space="preserve"> </w:t>
      </w:r>
      <w:r>
        <w:t xml:space="preserve">Development, training, validation, and deployment of supervised and unsupervised machine learning models tailored to the client's specific use cases, including but not limited to demand forecasting, customer segmentation, churn prediction, and anomaly detection.</w:t>
      </w:r>
    </w:p>
    <w:p>
      <w:pPr>
        <w:numPr>
          <w:ilvl w:val="0"/>
          <w:numId w:val="1001"/>
        </w:numPr>
        <w:pStyle w:val="Compact"/>
      </w:pPr>
      <w:r>
        <w:rPr>
          <w:bCs/>
          <w:b/>
        </w:rPr>
        <w:t xml:space="preserve">Natural Language Processing (NLP):</w:t>
      </w:r>
      <w:r>
        <w:t xml:space="preserve"> </w:t>
      </w:r>
      <w:r>
        <w:t xml:space="preserve">Implementation of NLP solutions for text analytics, sentiment analysis, and automated classification of documents in both Spanish and English, reflecting the bilingual nature of the</w:t>
      </w:r>
      <w:r>
        <w:t xml:space="preserve"> </w:t>
      </w:r>
      <w:r>
        <w:t xml:space="preserve">Spain Madrid</w:t>
      </w:r>
      <w:r>
        <w:t xml:space="preserve"> </w:t>
      </w:r>
      <w:r>
        <w:t xml:space="preserve">business environment.</w:t>
      </w:r>
    </w:p>
    <w:p>
      <w:pPr>
        <w:numPr>
          <w:ilvl w:val="0"/>
          <w:numId w:val="1001"/>
        </w:numPr>
        <w:pStyle w:val="Compact"/>
      </w:pPr>
      <w:r>
        <w:rPr>
          <w:bCs/>
          <w:b/>
        </w:rPr>
        <w:t xml:space="preserve">Dashboarding &amp; Reporting:</w:t>
      </w:r>
      <w:r>
        <w:t xml:space="preserve"> </w:t>
      </w:r>
      <w:r>
        <w:t xml:space="preserve">Creation of interactive dashboards and automated reporting systems using industry-standard tools (Power BI, Tableau, or equivalent) to provide real-time visibility into key performance indicators.</w:t>
      </w:r>
    </w:p>
    <w:p>
      <w:pPr>
        <w:numPr>
          <w:ilvl w:val="0"/>
          <w:numId w:val="1001"/>
        </w:numPr>
        <w:pStyle w:val="Compact"/>
      </w:pPr>
      <w:r>
        <w:rPr>
          <w:bCs/>
          <w:b/>
        </w:rPr>
        <w:t xml:space="preserve">Knowledge Transfer &amp; Training:</w:t>
      </w:r>
      <w:r>
        <w:t xml:space="preserve"> </w:t>
      </w:r>
      <w:r>
        <w:t xml:space="preserve">Conducting up to four (4) on-site training sessions at the client's Madrid premises to upskill the internal team on data literacy, model interpretation, and best practices in data-driven decision-making.</w:t>
      </w:r>
    </w:p>
    <w:p>
      <w:pPr>
        <w:numPr>
          <w:ilvl w:val="0"/>
          <w:numId w:val="1001"/>
        </w:numPr>
        <w:pStyle w:val="Compact"/>
      </w:pPr>
      <w:r>
        <w:rPr>
          <w:bCs/>
          <w:b/>
        </w:rPr>
        <w:t xml:space="preserve">Ongoing Support &amp; Model Maintenance:</w:t>
      </w:r>
      <w:r>
        <w:t xml:space="preserve"> </w:t>
      </w:r>
      <w:r>
        <w:t xml:space="preserve">Provision of a 90-day post-delivery support window for model retraining, performance monitoring, and minor adjustments.</w:t>
      </w:r>
    </w:p>
    <w:bookmarkEnd w:id="22"/>
    <w:bookmarkStart w:id="23"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 Deliverable</w:t>
            </w:r>
          </w:p>
        </w:tc>
        <w:tc>
          <w:tcPr/>
          <w:p>
            <w:pPr>
              <w:pStyle w:val="Compact"/>
              <w:jc w:val="left"/>
            </w:pPr>
            <w:r>
              <w:t xml:space="preserve">Duration / Qty</w:t>
            </w:r>
          </w:p>
        </w:tc>
        <w:tc>
          <w:tcPr/>
          <w:p>
            <w:pPr>
              <w:pStyle w:val="Compact"/>
              <w:jc w:val="left"/>
            </w:pPr>
            <w:r>
              <w:t xml:space="preserve">Unit Rate (€)</w:t>
            </w:r>
          </w:p>
        </w:tc>
        <w:tc>
          <w:tcPr/>
          <w:p>
            <w:pPr>
              <w:pStyle w:val="Compact"/>
              <w:jc w:val="left"/>
            </w:pPr>
            <w:r>
              <w:t xml:space="preserve">Subtotal (€)</w:t>
            </w:r>
          </w:p>
        </w:tc>
      </w:tr>
      <w:tr>
        <w:tc>
          <w:tcPr/>
          <w:p>
            <w:pPr>
              <w:pStyle w:val="Compact"/>
              <w:jc w:val="left"/>
            </w:pPr>
            <w:r>
              <w:t xml:space="preserve">1</w:t>
            </w:r>
          </w:p>
        </w:tc>
        <w:tc>
          <w:tcPr/>
          <w:p>
            <w:pPr>
              <w:pStyle w:val="Compact"/>
              <w:jc w:val="left"/>
            </w:pPr>
            <w:r>
              <w:t xml:space="preserve">Senior Data Scientist — Project Management &amp; Strategy (on-site, Madrid)</w:t>
            </w:r>
          </w:p>
        </w:tc>
        <w:tc>
          <w:tcPr/>
          <w:p>
            <w:pPr>
              <w:pStyle w:val="Compact"/>
              <w:jc w:val="left"/>
            </w:pPr>
            <w:r>
              <w:t xml:space="preserve">40 hours</w:t>
            </w:r>
          </w:p>
        </w:tc>
        <w:tc>
          <w:tcPr/>
          <w:p>
            <w:pPr>
              <w:pStyle w:val="Compact"/>
              <w:jc w:val="left"/>
            </w:pPr>
            <w:r>
              <w:t xml:space="preserve">95.00</w:t>
            </w:r>
          </w:p>
        </w:tc>
        <w:tc>
          <w:tcPr/>
          <w:p>
            <w:pPr>
              <w:pStyle w:val="Compact"/>
              <w:jc w:val="left"/>
            </w:pPr>
            <w:r>
              <w:t xml:space="preserve">3,800.00</w:t>
            </w:r>
          </w:p>
        </w:tc>
      </w:tr>
      <w:tr>
        <w:tc>
          <w:tcPr/>
          <w:p>
            <w:pPr>
              <w:pStyle w:val="Compact"/>
              <w:jc w:val="left"/>
            </w:pPr>
            <w:r>
              <w:t xml:space="preserve">2</w:t>
            </w:r>
          </w:p>
        </w:tc>
        <w:tc>
          <w:tcPr/>
          <w:p>
            <w:pPr>
              <w:pStyle w:val="Compact"/>
              <w:jc w:val="left"/>
            </w:pPr>
            <w:r>
              <w:t xml:space="preserve">Data Pipeline Design &amp; Implementation</w:t>
            </w:r>
          </w:p>
        </w:tc>
        <w:tc>
          <w:tcPr/>
          <w:p>
            <w:pPr>
              <w:pStyle w:val="Compact"/>
              <w:jc w:val="left"/>
            </w:pPr>
            <w:r>
              <w:t xml:space="preserve">60 hours</w:t>
            </w:r>
          </w:p>
        </w:tc>
        <w:tc>
          <w:tcPr/>
          <w:p>
            <w:pPr>
              <w:pStyle w:val="Compact"/>
              <w:jc w:val="left"/>
            </w:pPr>
            <w:r>
              <w:t xml:space="preserve">85.00</w:t>
            </w:r>
          </w:p>
        </w:tc>
        <w:tc>
          <w:tcPr/>
          <w:p>
            <w:pPr>
              <w:pStyle w:val="Compact"/>
              <w:jc w:val="left"/>
            </w:pPr>
            <w:r>
              <w:t xml:space="preserve">5,100.00</w:t>
            </w:r>
          </w:p>
        </w:tc>
      </w:tr>
      <w:tr>
        <w:tc>
          <w:tcPr/>
          <w:p>
            <w:pPr>
              <w:pStyle w:val="Compact"/>
              <w:jc w:val="left"/>
            </w:pPr>
            <w:r>
              <w:t xml:space="preserve">3</w:t>
            </w:r>
          </w:p>
        </w:tc>
        <w:tc>
          <w:tcPr/>
          <w:p>
            <w:pPr>
              <w:pStyle w:val="Compact"/>
              <w:jc w:val="left"/>
            </w:pPr>
            <w:r>
              <w:t xml:space="preserve">Exploratory Data Analysis &amp; Statistical Modelling</w:t>
            </w:r>
          </w:p>
        </w:tc>
        <w:tc>
          <w:tcPr/>
          <w:p>
            <w:pPr>
              <w:pStyle w:val="Compact"/>
              <w:jc w:val="left"/>
            </w:pPr>
            <w:r>
              <w:t xml:space="preserve">50 hours</w:t>
            </w:r>
          </w:p>
        </w:tc>
        <w:tc>
          <w:tcPr/>
          <w:p>
            <w:pPr>
              <w:pStyle w:val="Compact"/>
              <w:jc w:val="left"/>
            </w:pPr>
            <w:r>
              <w:t xml:space="preserve">85.00</w:t>
            </w:r>
          </w:p>
        </w:tc>
        <w:tc>
          <w:tcPr/>
          <w:p>
            <w:pPr>
              <w:pStyle w:val="Compact"/>
              <w:jc w:val="left"/>
            </w:pPr>
            <w:r>
              <w:t xml:space="preserve">4,250.00</w:t>
            </w:r>
          </w:p>
        </w:tc>
      </w:tr>
      <w:tr>
        <w:tc>
          <w:tcPr/>
          <w:p>
            <w:pPr>
              <w:pStyle w:val="Compact"/>
              <w:jc w:val="left"/>
            </w:pPr>
            <w:r>
              <w:t xml:space="preserve">4</w:t>
            </w:r>
          </w:p>
        </w:tc>
        <w:tc>
          <w:tcPr/>
          <w:p>
            <w:pPr>
              <w:pStyle w:val="Compact"/>
              <w:jc w:val="left"/>
            </w:pPr>
            <w:r>
              <w:t xml:space="preserve">Machine Learning Model Development &amp; Deployment</w:t>
            </w:r>
          </w:p>
        </w:tc>
        <w:tc>
          <w:tcPr/>
          <w:p>
            <w:pPr>
              <w:pStyle w:val="Compact"/>
              <w:jc w:val="left"/>
            </w:pPr>
            <w:r>
              <w:t xml:space="preserve">80 hours</w:t>
            </w:r>
          </w:p>
        </w:tc>
        <w:tc>
          <w:tcPr/>
          <w:p>
            <w:pPr>
              <w:pStyle w:val="Compact"/>
              <w:jc w:val="left"/>
            </w:pPr>
            <w:r>
              <w:t xml:space="preserve">90.00</w:t>
            </w:r>
          </w:p>
        </w:tc>
        <w:tc>
          <w:tcPr/>
          <w:p>
            <w:pPr>
              <w:pStyle w:val="Compact"/>
              <w:jc w:val="left"/>
            </w:pPr>
            <w:r>
              <w:t xml:space="preserve">7,200.00</w:t>
            </w:r>
          </w:p>
        </w:tc>
      </w:tr>
      <w:tr>
        <w:tc>
          <w:tcPr/>
          <w:p>
            <w:pPr>
              <w:pStyle w:val="Compact"/>
              <w:jc w:val="left"/>
            </w:pPr>
            <w:r>
              <w:t xml:space="preserve">5</w:t>
            </w:r>
          </w:p>
        </w:tc>
        <w:tc>
          <w:tcPr/>
          <w:p>
            <w:pPr>
              <w:pStyle w:val="Compact"/>
              <w:jc w:val="left"/>
            </w:pPr>
            <w:r>
              <w:t xml:space="preserve">NLP Solution Development (Spanish/English)</w:t>
            </w:r>
          </w:p>
        </w:tc>
        <w:tc>
          <w:tcPr/>
          <w:p>
            <w:pPr>
              <w:pStyle w:val="Compact"/>
              <w:jc w:val="left"/>
            </w:pPr>
            <w:r>
              <w:t xml:space="preserve">40 hours</w:t>
            </w:r>
          </w:p>
        </w:tc>
        <w:tc>
          <w:tcPr/>
          <w:p>
            <w:pPr>
              <w:pStyle w:val="Compact"/>
              <w:jc w:val="left"/>
            </w:pPr>
            <w:r>
              <w:t xml:space="preserve">90.00</w:t>
            </w:r>
          </w:p>
        </w:tc>
        <w:tc>
          <w:tcPr/>
          <w:p>
            <w:pPr>
              <w:pStyle w:val="Compact"/>
              <w:jc w:val="left"/>
            </w:pPr>
            <w:r>
              <w:t xml:space="preserve">3,600.00</w:t>
            </w:r>
          </w:p>
        </w:tc>
      </w:tr>
      <w:tr>
        <w:tc>
          <w:tcPr/>
          <w:p>
            <w:pPr>
              <w:pStyle w:val="Compact"/>
              <w:jc w:val="left"/>
            </w:pPr>
            <w:r>
              <w:t xml:space="preserve">6</w:t>
            </w:r>
          </w:p>
        </w:tc>
        <w:tc>
          <w:tcPr/>
          <w:p>
            <w:pPr>
              <w:pStyle w:val="Compact"/>
              <w:jc w:val="left"/>
            </w:pPr>
            <w:r>
              <w:t xml:space="preserve">Dashboard &amp; Reporting System Development</w:t>
            </w:r>
          </w:p>
        </w:tc>
        <w:tc>
          <w:tcPr/>
          <w:p>
            <w:pPr>
              <w:pStyle w:val="Compact"/>
              <w:jc w:val="left"/>
            </w:pPr>
            <w:r>
              <w:t xml:space="preserve">30 hours</w:t>
            </w:r>
          </w:p>
        </w:tc>
        <w:tc>
          <w:tcPr/>
          <w:p>
            <w:pPr>
              <w:pStyle w:val="Compact"/>
              <w:jc w:val="left"/>
            </w:pPr>
            <w:r>
              <w:t xml:space="preserve">80.00</w:t>
            </w:r>
          </w:p>
        </w:tc>
        <w:tc>
          <w:tcPr/>
          <w:p>
            <w:pPr>
              <w:pStyle w:val="Compact"/>
              <w:jc w:val="left"/>
            </w:pPr>
            <w:r>
              <w:t xml:space="preserve">2,400.00</w:t>
            </w:r>
          </w:p>
        </w:tc>
      </w:tr>
      <w:tr>
        <w:tc>
          <w:tcPr/>
          <w:p>
            <w:pPr>
              <w:pStyle w:val="Compact"/>
              <w:jc w:val="left"/>
            </w:pPr>
            <w:r>
              <w:t xml:space="preserve">7</w:t>
            </w:r>
          </w:p>
        </w:tc>
        <w:tc>
          <w:tcPr/>
          <w:p>
            <w:pPr>
              <w:pStyle w:val="Compact"/>
              <w:jc w:val="left"/>
            </w:pPr>
            <w:r>
              <w:t xml:space="preserve">Knowledge Transfer Sessions (4 × 3-hour workshops, Madrid)</w:t>
            </w:r>
          </w:p>
        </w:tc>
        <w:tc>
          <w:tcPr/>
          <w:p>
            <w:pPr>
              <w:pStyle w:val="Compact"/>
              <w:jc w:val="left"/>
            </w:pPr>
            <w:r>
              <w:t xml:space="preserve">12 hours</w:t>
            </w:r>
          </w:p>
        </w:tc>
        <w:tc>
          <w:tcPr/>
          <w:p>
            <w:pPr>
              <w:pStyle w:val="Compact"/>
              <w:jc w:val="left"/>
            </w:pPr>
            <w:r>
              <w:t xml:space="preserve">110.00</w:t>
            </w:r>
          </w:p>
        </w:tc>
        <w:tc>
          <w:tcPr/>
          <w:p>
            <w:pPr>
              <w:pStyle w:val="Compact"/>
              <w:jc w:val="left"/>
            </w:pPr>
            <w:r>
              <w:t xml:space="preserve">1,320.00</w:t>
            </w:r>
          </w:p>
        </w:tc>
      </w:tr>
      <w:tr>
        <w:tc>
          <w:tcPr/>
          <w:p>
            <w:pPr>
              <w:pStyle w:val="Compact"/>
              <w:jc w:val="left"/>
            </w:pPr>
            <w:r>
              <w:t xml:space="preserve">8</w:t>
            </w:r>
          </w:p>
        </w:tc>
        <w:tc>
          <w:tcPr/>
          <w:p>
            <w:pPr>
              <w:pStyle w:val="Compact"/>
              <w:jc w:val="left"/>
            </w:pPr>
            <w:r>
              <w:t xml:space="preserve">Post-Delivery Support &amp; Model Maintenance (90 days)</w:t>
            </w:r>
          </w:p>
        </w:tc>
        <w:tc>
          <w:tcPr/>
          <w:p>
            <w:pPr>
              <w:pStyle w:val="Compact"/>
              <w:jc w:val="left"/>
            </w:pPr>
            <w:r>
              <w:t xml:space="preserve">Flat fee</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9</w:t>
            </w:r>
          </w:p>
        </w:tc>
        <w:tc>
          <w:tcPr/>
          <w:p>
            <w:pPr>
              <w:pStyle w:val="Compact"/>
              <w:jc w:val="left"/>
            </w:pPr>
            <w:r>
              <w:t xml:space="preserve">Cloud Infrastructure &amp; Software Licensing (AWS/Azure, Madrid region)</w:t>
            </w:r>
          </w:p>
        </w:tc>
        <w:tc>
          <w:tcPr/>
          <w:p>
            <w:pPr>
              <w:pStyle w:val="Compact"/>
              <w:jc w:val="left"/>
            </w:pPr>
            <w:r>
              <w:t xml:space="preserve">3 months</w:t>
            </w:r>
          </w:p>
        </w:tc>
        <w:tc>
          <w:tcPr/>
          <w:p>
            <w:pPr>
              <w:pStyle w:val="Compact"/>
              <w:jc w:val="left"/>
            </w:pPr>
            <w:r>
              <w:t xml:space="preserve">1,200.00</w:t>
            </w:r>
          </w:p>
        </w:tc>
        <w:tc>
          <w:tcPr/>
          <w:p>
            <w:pPr>
              <w:pStyle w:val="Compact"/>
              <w:jc w:val="left"/>
            </w:pPr>
            <w:r>
              <w:t xml:space="preserve">3,600.00</w:t>
            </w:r>
          </w:p>
        </w:tc>
      </w:tr>
      <w:tr>
        <w:tc>
          <w:tcPr/>
          <w:p>
            <w:pPr>
              <w:pStyle w:val="Compact"/>
              <w:jc w:val="left"/>
            </w:pPr>
            <w:r>
              <w:t xml:space="preserve">10</w:t>
            </w:r>
          </w:p>
        </w:tc>
        <w:tc>
          <w:tcPr/>
          <w:p>
            <w:pPr>
              <w:pStyle w:val="Compact"/>
              <w:jc w:val="left"/>
            </w:pPr>
            <w:r>
              <w:t xml:space="preserve">Travel &amp; Local Transport within Madrid (on-site visits)</w:t>
            </w:r>
          </w:p>
        </w:tc>
        <w:tc>
          <w:tcPr/>
          <w:p>
            <w:pPr>
              <w:pStyle w:val="Compact"/>
              <w:jc w:val="left"/>
            </w:pPr>
            <w:r>
              <w:t xml:space="preserve">Estimate</w:t>
            </w:r>
          </w:p>
        </w:tc>
        <w:tc>
          <w:tcPr/>
          <w:p>
            <w:pPr>
              <w:pStyle w:val="Compact"/>
              <w:jc w:val="left"/>
            </w:pPr>
            <w:r>
              <w:t xml:space="preserve">1.00</w:t>
            </w:r>
          </w:p>
        </w:tc>
        <w:tc>
          <w:tcPr/>
          <w:p>
            <w:pPr>
              <w:pStyle w:val="Compact"/>
              <w:jc w:val="left"/>
            </w:pPr>
            <w:r>
              <w:t xml:space="preserve">450.00</w:t>
            </w:r>
          </w:p>
        </w:tc>
      </w:tr>
      <w:tr>
        <w:tc>
          <w:tcPr>
            <w:gridSpan w:val="4"/>
          </w:tcPr>
          <w:p>
            <w:pPr>
              <w:pStyle w:val="Compact"/>
              <w:jc w:val="right"/>
            </w:pPr>
            <w:r>
              <w:t xml:space="preserve">Subtotal (excl. VAT):</w:t>
            </w:r>
          </w:p>
        </w:tc>
        <w:tc>
          <w:tcPr/>
          <w:p>
            <w:pPr>
              <w:pStyle w:val="Compact"/>
              <w:jc w:val="left"/>
            </w:pPr>
            <w:r>
              <w:t xml:space="preserve">34,220.00</w:t>
            </w:r>
          </w:p>
        </w:tc>
      </w:tr>
      <w:tr>
        <w:tc>
          <w:tcPr>
            <w:gridSpan w:val="4"/>
          </w:tcPr>
          <w:p>
            <w:pPr>
              <w:pStyle w:val="Compact"/>
              <w:jc w:val="right"/>
            </w:pPr>
            <w:r>
              <w:t xml:space="preserve">VAT (21% — Spanish IVA):</w:t>
            </w:r>
          </w:p>
        </w:tc>
        <w:tc>
          <w:tcPr/>
          <w:p>
            <w:pPr>
              <w:pStyle w:val="Compact"/>
              <w:jc w:val="left"/>
            </w:pPr>
            <w:r>
              <w:t xml:space="preserve">7,186.20</w:t>
            </w:r>
          </w:p>
        </w:tc>
      </w:tr>
      <w:tr>
        <w:tc>
          <w:tcPr>
            <w:gridSpan w:val="4"/>
          </w:tcPr>
          <w:p>
            <w:pPr>
              <w:pStyle w:val="Compact"/>
              <w:jc w:val="right"/>
            </w:pPr>
            <w:r>
              <w:t xml:space="preserve">TOTAL AMOUNT DUE (incl. VAT):</w:t>
            </w:r>
          </w:p>
        </w:tc>
        <w:tc>
          <w:tcPr/>
          <w:p>
            <w:pPr>
              <w:pStyle w:val="Compact"/>
              <w:jc w:val="left"/>
            </w:pPr>
            <w:r>
              <w:t xml:space="preserve">41,406.20</w:t>
            </w:r>
          </w:p>
        </w:tc>
      </w:tr>
    </w:tbl>
    <w:bookmarkEnd w:id="23"/>
    <w:bookmarkStart w:id="24" w:name="payment-terms"/>
    <w:p>
      <w:pPr>
        <w:pStyle w:val="Heading2"/>
      </w:pPr>
      <w:r>
        <w:t xml:space="preserve">4. Payment Terms</w:t>
      </w:r>
    </w:p>
    <w:p>
      <w:pPr>
        <w:pStyle w:val="FirstParagraph"/>
      </w:pPr>
      <w:r>
        <w:t xml:space="preserve">Payment for the services outlined in this</w:t>
      </w:r>
      <w:r>
        <w:t xml:space="preserve"> </w:t>
      </w:r>
      <w:r>
        <w:t xml:space="preserve">Quotation Estimate</w:t>
      </w:r>
      <w:r>
        <w:t xml:space="preserve"> </w:t>
      </w:r>
      <w:r>
        <w:t xml:space="preserve">shall be made in three (3) instalments via bank transfer to the account of DataBridge Analytics S.L., Madrid, Spain:</w:t>
      </w:r>
    </w:p>
    <w:p>
      <w:pPr>
        <w:numPr>
          <w:ilvl w:val="0"/>
          <w:numId w:val="1002"/>
        </w:numPr>
        <w:pStyle w:val="Compact"/>
      </w:pPr>
      <w:r>
        <w:rPr>
          <w:bCs/>
          <w:b/>
        </w:rPr>
        <w:t xml:space="preserve">Instalment 1 (40%):</w:t>
      </w:r>
      <w:r>
        <w:t xml:space="preserve"> </w:t>
      </w:r>
      <w:r>
        <w:t xml:space="preserve">€16,562.48 — Due upon signed acceptance of this Quotation Estimate and project kickoff.</w:t>
      </w:r>
    </w:p>
    <w:p>
      <w:pPr>
        <w:numPr>
          <w:ilvl w:val="0"/>
          <w:numId w:val="1002"/>
        </w:numPr>
        <w:pStyle w:val="Compact"/>
      </w:pPr>
      <w:r>
        <w:rPr>
          <w:bCs/>
          <w:b/>
        </w:rPr>
        <w:t xml:space="preserve">Instalment 2 (40%):</w:t>
      </w:r>
      <w:r>
        <w:t xml:space="preserve"> </w:t>
      </w:r>
      <w:r>
        <w:t xml:space="preserve">€16,562.48 — Due upon delivery of the core machine learning models and dashboard systems (mid-project milestone).</w:t>
      </w:r>
    </w:p>
    <w:p>
      <w:pPr>
        <w:numPr>
          <w:ilvl w:val="0"/>
          <w:numId w:val="1002"/>
        </w:numPr>
        <w:pStyle w:val="Compact"/>
      </w:pPr>
      <w:r>
        <w:rPr>
          <w:bCs/>
          <w:b/>
        </w:rPr>
        <w:t xml:space="preserve">Instalment 3 (20%):</w:t>
      </w:r>
      <w:r>
        <w:t xml:space="preserve"> </w:t>
      </w:r>
      <w:r>
        <w:t xml:space="preserve">€8,281.24 — Due upon final acceptance of all deliverables and completion of knowledge transfer sessions.</w:t>
      </w:r>
    </w:p>
    <w:p>
      <w:pPr>
        <w:pStyle w:val="FirstParagraph"/>
      </w:pPr>
      <w:r>
        <w:t xml:space="preserve">All invoices will be issued in accordance with Spanish fiscal regulations (Ley 58/2003 General Tax Law). Late payments will accrue interest at the rate established by the Spanish Ministry of Economy.</w:t>
      </w:r>
    </w:p>
    <w:bookmarkEnd w:id="24"/>
    <w:bookmarkStart w:id="25" w:name="terms-and-conditions"/>
    <w:p>
      <w:pPr>
        <w:pStyle w:val="Heading2"/>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thirty (30) calendar days from the date of issue. After the expiry date, pricing may be subject to revision based on market conditions in the</w:t>
      </w:r>
      <w:r>
        <w:t xml:space="preserve"> </w:t>
      </w:r>
      <w:r>
        <w:t xml:space="preserve">Spain Madrid</w:t>
      </w:r>
      <w:r>
        <w:t xml:space="preserve"> </w:t>
      </w:r>
      <w:r>
        <w:t xml:space="preserve">technology sector.</w:t>
      </w:r>
    </w:p>
    <w:p>
      <w:pPr>
        <w:numPr>
          <w:ilvl w:val="0"/>
          <w:numId w:val="1003"/>
        </w:numPr>
        <w:pStyle w:val="Compact"/>
      </w:pPr>
      <w:r>
        <w:t xml:space="preserve">The</w:t>
      </w:r>
      <w:r>
        <w:t xml:space="preserve"> </w:t>
      </w:r>
      <w:r>
        <w:t xml:space="preserve">Data Scientist</w:t>
      </w:r>
      <w:r>
        <w:t xml:space="preserve"> </w:t>
      </w:r>
      <w:r>
        <w:t xml:space="preserve">assigned to this project will be a senior professional with a minimum of eight (8) years of experience in data science, machine learning, and statistical modelling, and will be based in Madrid, Spain for the duration of the engagement.</w:t>
      </w:r>
    </w:p>
    <w:p>
      <w:pPr>
        <w:numPr>
          <w:ilvl w:val="0"/>
          <w:numId w:val="1003"/>
        </w:numPr>
        <w:pStyle w:val="Compact"/>
      </w:pPr>
      <w:r>
        <w:t xml:space="preserve">All work product, including but not limited to code, models, documentation, and dashboards, shall become the exclusive property of the client upon full payment of all outstanding invoices.</w:t>
      </w:r>
    </w:p>
    <w:p>
      <w:pPr>
        <w:numPr>
          <w:ilvl w:val="0"/>
          <w:numId w:val="1003"/>
        </w:numPr>
        <w:pStyle w:val="Compact"/>
      </w:pPr>
      <w:r>
        <w:t xml:space="preserve">Both parties agree to maintain strict confidentiality. All data processed by the</w:t>
      </w:r>
      <w:r>
        <w:t xml:space="preserve"> </w:t>
      </w:r>
      <w:r>
        <w:t xml:space="preserve">Data Scientist</w:t>
      </w:r>
      <w:r>
        <w:t xml:space="preserve"> </w:t>
      </w:r>
      <w:r>
        <w:t xml:space="preserve">will be handled in full compliance with the GDPR and the Spanish Organic Law 3/2018 (LOPDGDD). A Data Processing Agreement (DPA) will be executed prior to any data access.</w:t>
      </w:r>
    </w:p>
    <w:p>
      <w:pPr>
        <w:numPr>
          <w:ilvl w:val="0"/>
          <w:numId w:val="1003"/>
        </w:numPr>
        <w:pStyle w:val="Compact"/>
      </w:pPr>
      <w:r>
        <w:t xml:space="preserve">Any changes to the scope of work beyond the parameters described in this Quotation Estimate will require a formal change order, signed by both parties, with a corresponding adjustment to the total cost.</w:t>
      </w:r>
    </w:p>
    <w:p>
      <w:pPr>
        <w:numPr>
          <w:ilvl w:val="0"/>
          <w:numId w:val="1003"/>
        </w:numPr>
        <w:pStyle w:val="Compact"/>
      </w:pPr>
      <w:r>
        <w:t xml:space="preserve">This engagement is governed by the laws of the Kingdom of Spain. Any disputes arising from this Quotation Estimate or the resulting contract shall be resolved by the competent courts of Madrid, Spain.</w:t>
      </w:r>
    </w:p>
    <w:p>
      <w:pPr>
        <w:numPr>
          <w:ilvl w:val="0"/>
          <w:numId w:val="1003"/>
        </w:numPr>
        <w:pStyle w:val="Compact"/>
      </w:pPr>
      <w:r>
        <w:t xml:space="preserve">The</w:t>
      </w:r>
      <w:r>
        <w:t xml:space="preserve"> </w:t>
      </w:r>
      <w:r>
        <w:t xml:space="preserve">Data Scientist</w:t>
      </w:r>
      <w:r>
        <w:t xml:space="preserve"> </w:t>
      </w:r>
      <w:r>
        <w:t xml:space="preserve">will provide weekly progress reports and bi-weekly status meetings (in-person in Madrid or via video conference) to ensure full transparency and alignment with the client's objectives.</w:t>
      </w:r>
    </w:p>
    <w:bookmarkEnd w:id="25"/>
    <w:bookmarkStart w:id="26" w:name="acceptance"/>
    <w:p>
      <w:pPr>
        <w:pStyle w:val="Heading2"/>
      </w:pPr>
      <w:r>
        <w:t xml:space="preserve">6. Acceptance</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 engagement of the</w:t>
      </w:r>
      <w:r>
        <w:t xml:space="preserve"> </w:t>
      </w:r>
      <w:r>
        <w:t xml:space="preserve">Data Scientist</w:t>
      </w:r>
      <w:r>
        <w:t xml:space="preserve"> </w:t>
      </w:r>
      <w:r>
        <w:t xml:space="preserve">services in</w:t>
      </w:r>
      <w:r>
        <w:t xml:space="preserve"> </w:t>
      </w:r>
      <w:r>
        <w:t xml:space="preserve">Spain Madrid</w:t>
      </w:r>
      <w:r>
        <w:t xml:space="preserve">.</w:t>
      </w:r>
    </w:p>
    <w:p>
      <w:pPr>
        <w:pStyle w:val="BodyText"/>
      </w:pPr>
      <w:r>
        <w:rPr>
          <w:bCs/>
          <w:b/>
        </w:rPr>
        <w:t xml:space="preserve">For DataBridge Analytics S.L.</w:t>
      </w:r>
      <w:r>
        <w:br/>
      </w:r>
      <w:r>
        <w:t xml:space="preserve">Name: _________________________</w:t>
      </w:r>
      <w:r>
        <w:br/>
      </w:r>
      <w:r>
        <w:t xml:space="preserve">Title: _________________________</w:t>
      </w:r>
      <w:r>
        <w:br/>
      </w:r>
      <w:r>
        <w:t xml:space="preserve">Date: _________________________</w:t>
      </w:r>
    </w:p>
    <w:p>
      <w:pPr>
        <w:pStyle w:val="BodyText"/>
      </w:pPr>
      <w:r>
        <w:rPr>
          <w:bCs/>
          <w:b/>
        </w:rPr>
        <w:t xml:space="preserve">For [Client Company Name]</w:t>
      </w:r>
      <w:r>
        <w:br/>
      </w:r>
      <w:r>
        <w:t xml:space="preserve">Name: _________________________</w:t>
      </w:r>
      <w:r>
        <w:br/>
      </w:r>
      <w:r>
        <w:t xml:space="preserve">Title: _________________________</w:t>
      </w:r>
      <w:r>
        <w:br/>
      </w:r>
      <w:r>
        <w:t xml:space="preserve">Date: _________________________</w:t>
      </w:r>
    </w:p>
    <w:p>
      <w:pPr>
        <w:pStyle w:val="BodyText"/>
      </w:pPr>
      <w:r>
        <w:t xml:space="preserve">This Quotation Estimate was prepared by DataBridge Analytics S.L., registered in Madrid, Spain. CIF: B-87654321.</w:t>
      </w:r>
      <w:r>
        <w:br/>
      </w:r>
      <w:r>
        <w:t xml:space="preserve">Document Ref: QE-DSM-2025-0472 | Page 1 of 1 | Generated: 15 June 2025</w:t>
      </w:r>
      <w:r>
        <w:br/>
      </w:r>
      <w:r>
        <w:t xml:space="preserve">© 2025 DataBridge Analytics S.L.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Data Scientist Services - Spain Madrid</dc:title>
  <dc:creator/>
  <dc:language>en</dc:language>
  <cp:keywords/>
  <dcterms:created xsi:type="dcterms:W3CDTF">2026-10-10T03:56:38Z</dcterms:created>
  <dcterms:modified xsi:type="dcterms:W3CDTF">2026-10-10T03:56:38Z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