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Data Scientist Engagement — Sudan Khartoum</w:t>
      </w:r>
    </w:p>
    <w:p>
      <w:pPr>
        <w:pStyle w:val="BodyText"/>
      </w:pPr>
      <w:r>
        <w:t xml:space="preserve">Ref: QE-DS-KRT-2025-0047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Nile Analytics &amp; Intelligence Solutions</w:t>
      </w:r>
      <w:r>
        <w:br/>
      </w:r>
      <w:r>
        <w:t xml:space="preserve">Al-Murad Street, Omdurman</w:t>
      </w:r>
      <w:r>
        <w:br/>
      </w:r>
      <w:r>
        <w:t xml:space="preserve">Khartoum, Sudan</w:t>
      </w:r>
      <w:r>
        <w:br/>
      </w:r>
      <w:r>
        <w:t xml:space="preserve">Email: info@nileanalytics.sd</w:t>
      </w:r>
      <w:r>
        <w:br/>
      </w:r>
      <w:r>
        <w:t xml:space="preserve">Tel: +249-183-555-0142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Client Name: ______________________</w:t>
      </w:r>
      <w:r>
        <w:br/>
      </w:r>
      <w:r>
        <w:t xml:space="preserve">Organization: ______________________</w:t>
      </w:r>
      <w:r>
        <w:br/>
      </w:r>
      <w:r>
        <w:t xml:space="preserve">Address: Khartoum, Sudan</w:t>
      </w:r>
      <w:r>
        <w:br/>
      </w:r>
      <w:r>
        <w:t xml:space="preserve">Contact Person: ______________________</w:t>
      </w:r>
      <w:r>
        <w:br/>
      </w:r>
      <w:r>
        <w:t xml:space="preserve">Email: ______________________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Nile Analytics &amp; Intelligence Solutions to formally outline the scope, deliverables, timeline, and associated costs for the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support the client's analytical and machine learning initiatives. This document is specifically tailored for operations conducted within</w:t>
      </w:r>
      <w:r>
        <w:t xml:space="preserve"> </w:t>
      </w:r>
      <w:r>
        <w:t xml:space="preserve">Sudan Khartoum</w:t>
      </w:r>
      <w:r>
        <w:t xml:space="preserve">, taking into account local infrastructure considerations, regulatory compliance, and the unique data landscape of the region.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a period of thirty (30) calendar days from the date of issue, after which pricing may be subject to revision based on market conditions in</w:t>
      </w:r>
      <w:r>
        <w:t xml:space="preserve"> </w:t>
      </w:r>
      <w:r>
        <w:t xml:space="preserve">Sudan Khartoum</w:t>
      </w:r>
      <w:r>
        <w:t xml:space="preserve">.</w:t>
      </w:r>
    </w:p>
    <w:bookmarkEnd w:id="21"/>
    <w:bookmarkStart w:id="22" w:name="scope-of-work-data-scientist-engagement"/>
    <w:p>
      <w:pPr>
        <w:pStyle w:val="Heading2"/>
      </w:pPr>
      <w:r>
        <w:t xml:space="preserve">2. Scope of Work — Data Scientist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core activities, all to be executed from our operational base in</w:t>
      </w:r>
      <w:r>
        <w:t xml:space="preserve"> </w:t>
      </w:r>
      <w:r>
        <w:t xml:space="preserve">Sudan Khartoum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and deployment of predictive analytics models tailored to the client's industry-specific datasets.</w:t>
      </w:r>
    </w:p>
    <w:p>
      <w:pPr>
        <w:numPr>
          <w:ilvl w:val="0"/>
          <w:numId w:val="1001"/>
        </w:numPr>
        <w:pStyle w:val="Compact"/>
      </w:pPr>
      <w:r>
        <w:t xml:space="preserve">End-to-end data pipeline architecture, including data ingestion, cleaning, transformation, and storage solutions optimized for the local computing infrastructure available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Application of machine learning algorithms (supervised, unsupervised, and deep learning) to extract actionable insights from structured and unstructured data sources.</w:t>
      </w:r>
    </w:p>
    <w:p>
      <w:pPr>
        <w:numPr>
          <w:ilvl w:val="0"/>
          <w:numId w:val="1001"/>
        </w:numPr>
        <w:pStyle w:val="Compact"/>
      </w:pPr>
      <w:r>
        <w:t xml:space="preserve">Development of natural language processing (NLP) modules for Arabic and English text analysis, a critical requirement given the bilingual environment of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Creation of interactive dashboards and reporting frameworks for real-time monitoring of key performance indicators.</w:t>
      </w:r>
    </w:p>
    <w:p>
      <w:pPr>
        <w:numPr>
          <w:ilvl w:val="0"/>
          <w:numId w:val="1001"/>
        </w:numPr>
        <w:pStyle w:val="Compact"/>
      </w:pPr>
      <w:r>
        <w:t xml:space="preserve">Mentoring and upskilling of the client's in-house technical team on data science best practices, statistical methodologies, and modern tooling.</w:t>
      </w:r>
    </w:p>
    <w:p>
      <w:pPr>
        <w:numPr>
          <w:ilvl w:val="0"/>
          <w:numId w:val="1001"/>
        </w:numPr>
        <w:pStyle w:val="Compact"/>
      </w:pPr>
      <w:r>
        <w:t xml:space="preserve">Preparation of comprehensive technical documentation, model cards, and reproducibility guides for all deliverables.</w:t>
      </w:r>
    </w:p>
    <w:bookmarkEnd w:id="22"/>
    <w:bookmarkStart w:id="23" w:name="project-timeline"/>
    <w:p>
      <w:pPr>
        <w:pStyle w:val="Heading2"/>
      </w:pPr>
      <w:r>
        <w:t xml:space="preserve">3.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Start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data audit, and requirements gathering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pipeline design and infrastructure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development, training, and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development and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Testing, documentation, and handover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14</w:t>
            </w:r>
          </w:p>
        </w:tc>
      </w:tr>
    </w:tbl>
    <w:bookmarkEnd w:id="23"/>
    <w:bookmarkStart w:id="24" w:name="financial-breakdown-quotation-estimate"/>
    <w:p>
      <w:pPr>
        <w:pStyle w:val="Heading2"/>
      </w:pPr>
      <w:r>
        <w:t xml:space="preserve">4. Financial Breakdown — Quotation Estimate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all costs associated with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engagement. All figures are quoted in Sudanese Pounds (SDG) with USD equivalents provided for reference. Rates reflect the current market conditions for specialized data science talent in</w:t>
      </w:r>
      <w:r>
        <w:t xml:space="preserve"> </w:t>
      </w:r>
      <w:r>
        <w:t xml:space="preserve">Sudan Khartoum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— Professional Services (on-site,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Engineering &amp; Pipeline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 Learning Model Development &amp;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NLP Module (Arabic/English)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&amp; Reporting Framework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Training &amp; Knowledge Transfer (3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Model Cards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Travel &amp; Logistics within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(USD 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$5,328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non-binding until formally accepted in writing by the client. Upon acceptance, it shall constitute a binding agreement between the parties.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signing, 40% upon completion of Phase 3, and 30% upon final delivery and acceptance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be conducted in compliance with Sudanese data protection regulations and the client's internal data governance policies.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maintain strict confidentiality regarding all client data, proprietary algorithms, and business intelligence encountered during the engagement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changes beyond the originally defined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software licensing fees, cloud hosting costs, or hardware procurement unless explicitly stated.</w:t>
      </w:r>
    </w:p>
    <w:p>
      <w:pPr>
        <w:numPr>
          <w:ilvl w:val="0"/>
          <w:numId w:val="1002"/>
        </w:numPr>
        <w:pStyle w:val="Compact"/>
      </w:pPr>
      <w:r>
        <w:t xml:space="preserve">Warranty period: Ninety (90) days from the date of final acceptance, during which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address any defects in the delivered models or systems at no additional cost.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amicable negotiation, failing which they shall be subject to the jurisdiction of the courts of</w:t>
      </w:r>
      <w:r>
        <w:t xml:space="preserve"> </w:t>
      </w:r>
      <w:r>
        <w:t xml:space="preserve">Sudan Khartoum</w:t>
      </w:r>
      <w:r>
        <w:t xml:space="preserve">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Nile Analytics &amp; Intelligence Solutions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exclusively for the client named above and is not transferable. © 2025 Nile Analytics &amp; Intelligence Solutions, Khartoum, Sudan. All rights reserved.</w:t>
      </w:r>
    </w:p>
    <w:p>
      <w:pPr>
        <w:pStyle w:val="BodyText"/>
      </w:pPr>
      <w:r>
        <w:t xml:space="preserve">Document ID: QE-DS-KRT-2025-0047 | Version 1.0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Services - Sudan Khartoum</dc:title>
  <dc:creator/>
  <dc:language>en</dc:language>
  <cp:keywords/>
  <dcterms:created xsi:type="dcterms:W3CDTF">2026-10-10T02:29:10Z</dcterms:created>
  <dcterms:modified xsi:type="dcterms:W3CDTF">2026-10-10T02:29:10Z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