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Data Scientist Services — Turkey Istanbul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QE-2025-TR-IST-0472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Analytics Consulting Ltd.</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Turkey Istanbul — Business District, Çankaya Avenue, 34330</w:t>
            </w:r>
          </w:p>
        </w:tc>
      </w:tr>
      <w:tr>
        <w:tc>
          <w:tcPr/>
          <w:p>
            <w:pPr>
              <w:pStyle w:val="Compact"/>
              <w:jc w:val="left"/>
            </w:pPr>
            <w:r>
              <w:t xml:space="preserve">Engagement Type</w:t>
            </w:r>
          </w:p>
        </w:tc>
        <w:tc>
          <w:tcPr/>
          <w:p>
            <w:pPr>
              <w:pStyle w:val="Compact"/>
              <w:jc w:val="left"/>
            </w:pPr>
            <w:r>
              <w:t xml:space="preserve">Full-Time Data Scientist Retainer (12-Month Contract)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Meridian Analytics Consulting Ltd. to provide a comprehensive and transparent financial proposal for the engagement of a senior</w:t>
      </w:r>
      <w:r>
        <w:t xml:space="preserve"> </w:t>
      </w:r>
      <w:r>
        <w:t xml:space="preserve">Data Scientist</w:t>
      </w:r>
      <w:r>
        <w:t xml:space="preserve"> </w:t>
      </w:r>
      <w:r>
        <w:t xml:space="preserve">based in</w:t>
      </w:r>
      <w:r>
        <w:t xml:space="preserve"> </w:t>
      </w:r>
      <w:r>
        <w:t xml:space="preserve">Turkey Istanbul</w:t>
      </w:r>
      <w:r>
        <w:t xml:space="preserve">. The purpose of this document is to outline the scope of services, deliverables, associated costs, and contractual terms governing the professional relationship between our firm and the client. All figures presented herein are calculated in Turkish Lira (TRY) with an equivalent reference in US Dollars (USD) for international accounting purposes, reflecting the current exchange rate as of the date of issue.</w:t>
      </w:r>
    </w:p>
    <w:p>
      <w:pPr>
        <w:pStyle w:val="BodyText"/>
      </w:pPr>
      <w:r>
        <w:t xml:space="preserve">The</w:t>
      </w:r>
      <w:r>
        <w:t xml:space="preserve"> </w:t>
      </w:r>
      <w:r>
        <w:t xml:space="preserve">Data Scientist</w:t>
      </w:r>
      <w:r>
        <w:t xml:space="preserve"> </w:t>
      </w:r>
      <w:r>
        <w:t xml:space="preserve">proposed for this engagement will operate out of our dedicated office in the financial district of</w:t>
      </w:r>
      <w:r>
        <w:t xml:space="preserve"> </w:t>
      </w:r>
      <w:r>
        <w:t xml:space="preserve">Turkey Istanbul</w:t>
      </w:r>
      <w:r>
        <w:t xml:space="preserve">, ensuring proximity to major corporate clients, access to local data infrastructure, and full compliance with the Republic of Turkey's data protection regulations under KVKK (Law on the Protection of Personal Data, No. 6698).</w:t>
      </w:r>
    </w:p>
    <w:bookmarkEnd w:id="21"/>
    <w:bookmarkStart w:id="22" w:name="scope-of-services"/>
    <w:p>
      <w:pPr>
        <w:pStyle w:val="Heading2"/>
      </w:pPr>
      <w:r>
        <w:t xml:space="preserve">2. Scope of Services</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deliver the following core services within the</w:t>
      </w:r>
      <w:r>
        <w:t xml:space="preserve"> </w:t>
      </w:r>
      <w:r>
        <w:t xml:space="preserve">Turkey Istanbul</w:t>
      </w:r>
      <w:r>
        <w:t xml:space="preserve"> </w:t>
      </w:r>
      <w:r>
        <w:t xml:space="preserve">market:</w:t>
      </w:r>
    </w:p>
    <w:p>
      <w:pPr>
        <w:numPr>
          <w:ilvl w:val="0"/>
          <w:numId w:val="1001"/>
        </w:numPr>
        <w:pStyle w:val="Compact"/>
      </w:pPr>
      <w:r>
        <w:t xml:space="preserve">End-to-end data pipeline architecture, including ingestion, transformation, and storage of structured and unstructured datasets relevant to the client's industry vertical.</w:t>
      </w:r>
    </w:p>
    <w:p>
      <w:pPr>
        <w:numPr>
          <w:ilvl w:val="0"/>
          <w:numId w:val="1001"/>
        </w:numPr>
        <w:pStyle w:val="Compact"/>
      </w:pPr>
      <w:r>
        <w:t xml:space="preserve">Development, training, validation, and deployment of machine learning models, including but not limited to predictive analytics, natural language processing, computer vision, and recommendation engine systems.</w:t>
      </w:r>
    </w:p>
    <w:p>
      <w:pPr>
        <w:numPr>
          <w:ilvl w:val="0"/>
          <w:numId w:val="1001"/>
        </w:numPr>
        <w:pStyle w:val="Compact"/>
      </w:pPr>
      <w:r>
        <w:t xml:space="preserve">Statistical analysis and exploratory data analysis (EDA) to identify actionable business insights, trends, and anomalies within the client's operational data.</w:t>
      </w:r>
    </w:p>
    <w:p>
      <w:pPr>
        <w:numPr>
          <w:ilvl w:val="0"/>
          <w:numId w:val="1001"/>
        </w:numPr>
        <w:pStyle w:val="Compact"/>
      </w:pPr>
      <w:r>
        <w:t xml:space="preserve">Design and implementation of A/B testing frameworks and multivariate analysis to support evidence-based decision-making for the client's product and marketing teams.</w:t>
      </w:r>
    </w:p>
    <w:p>
      <w:pPr>
        <w:numPr>
          <w:ilvl w:val="0"/>
          <w:numId w:val="1001"/>
        </w:numPr>
        <w:pStyle w:val="Compact"/>
      </w:pPr>
      <w:r>
        <w:t xml:space="preserve">Creation of interactive dashboards and automated reporting systems using tools such as Power BI, Tableau, or custom Python-based visualizations.</w:t>
      </w:r>
    </w:p>
    <w:p>
      <w:pPr>
        <w:numPr>
          <w:ilvl w:val="0"/>
          <w:numId w:val="1001"/>
        </w:numPr>
        <w:pStyle w:val="Compact"/>
      </w:pPr>
      <w:r>
        <w:t xml:space="preserve">Regular consultation sessions (minimum two per week) with the client's internal stakeholders, conducted either in person at the</w:t>
      </w:r>
      <w:r>
        <w:t xml:space="preserve"> </w:t>
      </w:r>
      <w:r>
        <w:t xml:space="preserve">Turkey Istanbul</w:t>
      </w:r>
      <w:r>
        <w:t xml:space="preserve"> </w:t>
      </w:r>
      <w:r>
        <w:t xml:space="preserve">office or via secure video conferencing.</w:t>
      </w:r>
    </w:p>
    <w:p>
      <w:pPr>
        <w:numPr>
          <w:ilvl w:val="0"/>
          <w:numId w:val="1001"/>
        </w:numPr>
        <w:pStyle w:val="Compact"/>
      </w:pPr>
      <w:r>
        <w:t xml:space="preserve">Documentation of all models, methodologies, and code repositories in accordance with industry best practices and the client's internal governance standards.</w:t>
      </w:r>
    </w:p>
    <w:p>
      <w:pPr>
        <w:numPr>
          <w:ilvl w:val="0"/>
          <w:numId w:val="1001"/>
        </w:numPr>
        <w:pStyle w:val="Compact"/>
      </w:pPr>
      <w:r>
        <w:t xml:space="preserve">Knowledge transfer sessions to upskill the client's in-house analytics team, ensuring long-term sustainability of the data science capabilities established during the engagement.</w:t>
      </w:r>
    </w:p>
    <w:bookmarkEnd w:id="22"/>
    <w:bookmarkStart w:id="23" w:name="X7111bbe46f5f67a38b9653bbdf57c7a915c88c2"/>
    <w:p>
      <w:pPr>
        <w:pStyle w:val="Heading2"/>
      </w:pPr>
      <w:r>
        <w:t xml:space="preserve">3. Professional Profile of the Data Scientist</w:t>
      </w:r>
    </w:p>
    <w:p>
      <w:pPr>
        <w:pStyle w:val="FirstParagraph"/>
      </w:pPr>
      <w:r>
        <w:t xml:space="preserve">The</w:t>
      </w:r>
      <w:r>
        <w:t xml:space="preserve"> </w:t>
      </w:r>
      <w:r>
        <w:t xml:space="preserve">Data Scientist</w:t>
      </w:r>
      <w:r>
        <w:t xml:space="preserve"> </w:t>
      </w:r>
      <w:r>
        <w:t xml:space="preserve">assigned to this project holds a Master's degree in Applied Statistics or a related quantitative field from an accredited Turkish or international university. The candidate possesses a minimum of seven (7) years of progressive experience in data science roles, with at least three (3) years of direct experience working within the</w:t>
      </w:r>
      <w:r>
        <w:t xml:space="preserve"> </w:t>
      </w:r>
      <w:r>
        <w:t xml:space="preserve">Turkey Istanbul</w:t>
      </w:r>
      <w:r>
        <w:t xml:space="preserve"> </w:t>
      </w:r>
      <w:r>
        <w:t xml:space="preserve">business environment. Proficiency in Python, R, SQL, Spark, and cloud platforms (AWS, Azure, or GCP) is mandatory. The</w:t>
      </w:r>
      <w:r>
        <w:t xml:space="preserve"> </w:t>
      </w:r>
      <w:r>
        <w:t xml:space="preserve">Data Scientist</w:t>
      </w:r>
      <w:r>
        <w:t xml:space="preserve"> </w:t>
      </w:r>
      <w:r>
        <w:t xml:space="preserve">is fluent in both Turkish and English, enabling seamless communication with local and international stakeholders across the</w:t>
      </w:r>
      <w:r>
        <w:t xml:space="preserve"> </w:t>
      </w:r>
      <w:r>
        <w:t xml:space="preserve">Turkey Istanbul</w:t>
      </w:r>
      <w:r>
        <w:t xml:space="preserve"> </w:t>
      </w:r>
      <w:r>
        <w:t xml:space="preserve">region.</w:t>
      </w:r>
    </w:p>
    <w:bookmarkEnd w:id="23"/>
    <w:bookmarkStart w:id="24" w:name="financial-breakdown"/>
    <w:p>
      <w:pPr>
        <w:pStyle w:val="Heading2"/>
      </w:pPr>
      <w:r>
        <w:t xml:space="preserve">4. Financial Breakdown</w:t>
      </w:r>
    </w:p>
    <w:p>
      <w:pPr>
        <w:pStyle w:val="FirstParagraph"/>
      </w:pPr>
      <w:r>
        <w:t xml:space="preserve">The following table constitutes the complete financial component of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Turkey Istanbul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(TRY)</w:t>
            </w:r>
          </w:p>
        </w:tc>
        <w:tc>
          <w:tcPr/>
          <w:p>
            <w:pPr>
              <w:pStyle w:val="Compact"/>
              <w:jc w:val="left"/>
            </w:pPr>
            <w:r>
              <w:t xml:space="preserve">Monthly (USD)</w:t>
            </w:r>
          </w:p>
        </w:tc>
        <w:tc>
          <w:tcPr/>
          <w:p>
            <w:pPr>
              <w:pStyle w:val="Compact"/>
              <w:jc w:val="left"/>
            </w:pPr>
            <w:r>
              <w:t xml:space="preserve">Annual (TRY)</w:t>
            </w:r>
          </w:p>
        </w:tc>
        <w:tc>
          <w:tcPr/>
          <w:p>
            <w:pPr>
              <w:pStyle w:val="Compact"/>
              <w:jc w:val="left"/>
            </w:pPr>
            <w:r>
              <w:t xml:space="preserve">Annual (USD)</w:t>
            </w:r>
          </w:p>
        </w:tc>
      </w:tr>
      <w:tr>
        <w:tc>
          <w:tcPr/>
          <w:p>
            <w:pPr>
              <w:pStyle w:val="Compact"/>
              <w:jc w:val="left"/>
            </w:pPr>
            <w:r>
              <w:t xml:space="preserve">1</w:t>
            </w:r>
          </w:p>
        </w:tc>
        <w:tc>
          <w:tcPr/>
          <w:p>
            <w:pPr>
              <w:pStyle w:val="Compact"/>
              <w:jc w:val="left"/>
            </w:pPr>
            <w:r>
              <w:t xml:space="preserve">Senior Data Scientist — Professional Fee</w:t>
            </w:r>
          </w:p>
        </w:tc>
        <w:tc>
          <w:tcPr/>
          <w:p>
            <w:pPr>
              <w:pStyle w:val="Compact"/>
              <w:jc w:val="left"/>
            </w:pPr>
            <w:r>
              <w:t xml:space="preserve">185,000</w:t>
            </w:r>
          </w:p>
        </w:tc>
        <w:tc>
          <w:tcPr/>
          <w:p>
            <w:pPr>
              <w:pStyle w:val="Compact"/>
              <w:jc w:val="left"/>
            </w:pPr>
            <w:r>
              <w:t xml:space="preserve">5,450</w:t>
            </w:r>
          </w:p>
        </w:tc>
        <w:tc>
          <w:tcPr/>
          <w:p>
            <w:pPr>
              <w:pStyle w:val="Compact"/>
              <w:jc w:val="left"/>
            </w:pPr>
            <w:r>
              <w:t xml:space="preserve">2,220,000</w:t>
            </w:r>
          </w:p>
        </w:tc>
        <w:tc>
          <w:tcPr/>
          <w:p>
            <w:pPr>
              <w:pStyle w:val="Compact"/>
              <w:jc w:val="left"/>
            </w:pPr>
            <w:r>
              <w:t xml:space="preserve">65,400</w:t>
            </w:r>
          </w:p>
        </w:tc>
      </w:tr>
      <w:tr>
        <w:tc>
          <w:tcPr/>
          <w:p>
            <w:pPr>
              <w:pStyle w:val="Compact"/>
              <w:jc w:val="left"/>
            </w:pPr>
            <w:r>
              <w:t xml:space="preserve">2</w:t>
            </w:r>
          </w:p>
        </w:tc>
        <w:tc>
          <w:tcPr/>
          <w:p>
            <w:pPr>
              <w:pStyle w:val="Compact"/>
              <w:jc w:val="left"/>
            </w:pPr>
            <w:r>
              <w:t xml:space="preserve">Software Licenses &amp; Cloud Infrastructure</w:t>
            </w:r>
          </w:p>
        </w:tc>
        <w:tc>
          <w:tcPr/>
          <w:p>
            <w:pPr>
              <w:pStyle w:val="Compact"/>
              <w:jc w:val="left"/>
            </w:pPr>
            <w:r>
              <w:t xml:space="preserve">42,000</w:t>
            </w:r>
          </w:p>
        </w:tc>
        <w:tc>
          <w:tcPr/>
          <w:p>
            <w:pPr>
              <w:pStyle w:val="Compact"/>
              <w:jc w:val="left"/>
            </w:pPr>
            <w:r>
              <w:t xml:space="preserve">1,240</w:t>
            </w:r>
          </w:p>
        </w:tc>
        <w:tc>
          <w:tcPr/>
          <w:p>
            <w:pPr>
              <w:pStyle w:val="Compact"/>
              <w:jc w:val="left"/>
            </w:pPr>
            <w:r>
              <w:t xml:space="preserve">504,000</w:t>
            </w:r>
          </w:p>
        </w:tc>
        <w:tc>
          <w:tcPr/>
          <w:p>
            <w:pPr>
              <w:pStyle w:val="Compact"/>
              <w:jc w:val="left"/>
            </w:pPr>
            <w:r>
              <w:t xml:space="preserve">14,880</w:t>
            </w:r>
          </w:p>
        </w:tc>
      </w:tr>
      <w:tr>
        <w:tc>
          <w:tcPr/>
          <w:p>
            <w:pPr>
              <w:pStyle w:val="Compact"/>
              <w:jc w:val="left"/>
            </w:pPr>
            <w:r>
              <w:t xml:space="preserve">3</w:t>
            </w:r>
          </w:p>
        </w:tc>
        <w:tc>
          <w:tcPr/>
          <w:p>
            <w:pPr>
              <w:pStyle w:val="Compact"/>
              <w:jc w:val="left"/>
            </w:pPr>
            <w:r>
              <w:t xml:space="preserve">Office Space &amp; Utilities (Turkey Istanbul)</w:t>
            </w:r>
          </w:p>
        </w:tc>
        <w:tc>
          <w:tcPr/>
          <w:p>
            <w:pPr>
              <w:pStyle w:val="Compact"/>
              <w:jc w:val="left"/>
            </w:pPr>
            <w:r>
              <w:t xml:space="preserve">28,000</w:t>
            </w:r>
          </w:p>
        </w:tc>
        <w:tc>
          <w:tcPr/>
          <w:p>
            <w:pPr>
              <w:pStyle w:val="Compact"/>
              <w:jc w:val="left"/>
            </w:pPr>
            <w:r>
              <w:t xml:space="preserve">825</w:t>
            </w:r>
          </w:p>
        </w:tc>
        <w:tc>
          <w:tcPr/>
          <w:p>
            <w:pPr>
              <w:pStyle w:val="Compact"/>
              <w:jc w:val="left"/>
            </w:pPr>
            <w:r>
              <w:t xml:space="preserve">336,000</w:t>
            </w:r>
          </w:p>
        </w:tc>
        <w:tc>
          <w:tcPr/>
          <w:p>
            <w:pPr>
              <w:pStyle w:val="Compact"/>
              <w:jc w:val="left"/>
            </w:pPr>
            <w:r>
              <w:t xml:space="preserve">9,900</w:t>
            </w:r>
          </w:p>
        </w:tc>
      </w:tr>
      <w:tr>
        <w:tc>
          <w:tcPr/>
          <w:p>
            <w:pPr>
              <w:pStyle w:val="Compact"/>
              <w:jc w:val="left"/>
            </w:pPr>
            <w:r>
              <w:t xml:space="preserve">4</w:t>
            </w:r>
          </w:p>
        </w:tc>
        <w:tc>
          <w:tcPr/>
          <w:p>
            <w:pPr>
              <w:pStyle w:val="Compact"/>
              <w:jc w:val="left"/>
            </w:pPr>
            <w:r>
              <w:t xml:space="preserve">Project Management &amp; Coordination</w:t>
            </w:r>
          </w:p>
        </w:tc>
        <w:tc>
          <w:tcPr/>
          <w:p>
            <w:pPr>
              <w:pStyle w:val="Compact"/>
              <w:jc w:val="left"/>
            </w:pPr>
            <w:r>
              <w:t xml:space="preserve">35,000</w:t>
            </w:r>
          </w:p>
        </w:tc>
        <w:tc>
          <w:tcPr/>
          <w:p>
            <w:pPr>
              <w:pStyle w:val="Compact"/>
              <w:jc w:val="left"/>
            </w:pPr>
            <w:r>
              <w:t xml:space="preserve">1,030</w:t>
            </w:r>
          </w:p>
        </w:tc>
        <w:tc>
          <w:tcPr/>
          <w:p>
            <w:pPr>
              <w:pStyle w:val="Compact"/>
              <w:jc w:val="left"/>
            </w:pPr>
            <w:r>
              <w:t xml:space="preserve">420,000</w:t>
            </w:r>
          </w:p>
        </w:tc>
        <w:tc>
          <w:tcPr/>
          <w:p>
            <w:pPr>
              <w:pStyle w:val="Compact"/>
              <w:jc w:val="left"/>
            </w:pPr>
            <w:r>
              <w:t xml:space="preserve">12,360</w:t>
            </w:r>
          </w:p>
        </w:tc>
      </w:tr>
      <w:tr>
        <w:tc>
          <w:tcPr/>
          <w:p>
            <w:pPr>
              <w:pStyle w:val="Compact"/>
              <w:jc w:val="left"/>
            </w:pPr>
            <w:r>
              <w:t xml:space="preserve">5</w:t>
            </w:r>
          </w:p>
        </w:tc>
        <w:tc>
          <w:tcPr/>
          <w:p>
            <w:pPr>
              <w:pStyle w:val="Compact"/>
              <w:jc w:val="left"/>
            </w:pPr>
            <w:r>
              <w:t xml:space="preserve">Compliance &amp; KVKK Data Protection Advisory</w:t>
            </w:r>
          </w:p>
        </w:tc>
        <w:tc>
          <w:tcPr/>
          <w:p>
            <w:pPr>
              <w:pStyle w:val="Compact"/>
              <w:jc w:val="left"/>
            </w:pPr>
            <w:r>
              <w:t xml:space="preserve">18,000</w:t>
            </w:r>
          </w:p>
        </w:tc>
        <w:tc>
          <w:tcPr/>
          <w:p>
            <w:pPr>
              <w:pStyle w:val="Compact"/>
              <w:jc w:val="left"/>
            </w:pPr>
            <w:r>
              <w:t xml:space="preserve">530</w:t>
            </w:r>
          </w:p>
        </w:tc>
        <w:tc>
          <w:tcPr/>
          <w:p>
            <w:pPr>
              <w:pStyle w:val="Compact"/>
              <w:jc w:val="left"/>
            </w:pPr>
            <w:r>
              <w:t xml:space="preserve">216,000</w:t>
            </w:r>
          </w:p>
        </w:tc>
        <w:tc>
          <w:tcPr/>
          <w:p>
            <w:pPr>
              <w:pStyle w:val="Compact"/>
              <w:jc w:val="left"/>
            </w:pPr>
            <w:r>
              <w:t xml:space="preserve">6,360</w:t>
            </w:r>
          </w:p>
        </w:tc>
      </w:tr>
      <w:tr>
        <w:tc>
          <w:tcPr/>
          <w:p>
            <w:pPr>
              <w:pStyle w:val="Compact"/>
              <w:jc w:val="left"/>
            </w:pPr>
            <w:r>
              <w:t xml:space="preserve">6</w:t>
            </w:r>
          </w:p>
        </w:tc>
        <w:tc>
          <w:tcPr/>
          <w:p>
            <w:pPr>
              <w:pStyle w:val="Compact"/>
              <w:jc w:val="left"/>
            </w:pPr>
            <w:r>
              <w:t xml:space="preserve">Contingency &amp; Miscellaneous (5%)</w:t>
            </w:r>
          </w:p>
        </w:tc>
        <w:tc>
          <w:tcPr/>
          <w:p>
            <w:pPr>
              <w:pStyle w:val="Compact"/>
              <w:jc w:val="left"/>
            </w:pPr>
            <w:r>
              <w:t xml:space="preserve">14,950</w:t>
            </w:r>
          </w:p>
        </w:tc>
        <w:tc>
          <w:tcPr/>
          <w:p>
            <w:pPr>
              <w:pStyle w:val="Compact"/>
              <w:jc w:val="left"/>
            </w:pPr>
            <w:r>
              <w:t xml:space="preserve">440</w:t>
            </w:r>
          </w:p>
        </w:tc>
        <w:tc>
          <w:tcPr/>
          <w:p>
            <w:pPr>
              <w:pStyle w:val="Compact"/>
              <w:jc w:val="left"/>
            </w:pPr>
            <w:r>
              <w:t xml:space="preserve">179,400</w:t>
            </w:r>
          </w:p>
        </w:tc>
        <w:tc>
          <w:tcPr/>
          <w:p>
            <w:pPr>
              <w:pStyle w:val="Compact"/>
              <w:jc w:val="left"/>
            </w:pPr>
            <w:r>
              <w:t xml:space="preserve">5,280</w:t>
            </w:r>
          </w:p>
        </w:tc>
      </w:tr>
      <w:tr>
        <w:tc>
          <w:tcPr>
            <w:gridSpan w:val="2"/>
          </w:tcPr>
          <w:p>
            <w:pPr>
              <w:pStyle w:val="Compact"/>
              <w:jc w:val="left"/>
            </w:pPr>
            <w:r>
              <w:t xml:space="preserve">TOTAL ESTIMATED COST (12 Months)</w:t>
            </w:r>
          </w:p>
        </w:tc>
        <w:tc>
          <w:tcPr/>
          <w:p>
            <w:pPr>
              <w:pStyle w:val="Compact"/>
              <w:jc w:val="left"/>
            </w:pPr>
            <w:r>
              <w:t xml:space="preserve">322,950</w:t>
            </w:r>
          </w:p>
        </w:tc>
        <w:tc>
          <w:tcPr/>
          <w:p>
            <w:pPr>
              <w:pStyle w:val="Compact"/>
              <w:jc w:val="left"/>
            </w:pPr>
            <w:r>
              <w:t xml:space="preserve">9,515</w:t>
            </w:r>
          </w:p>
        </w:tc>
        <w:tc>
          <w:tcPr/>
          <w:p>
            <w:pPr>
              <w:pStyle w:val="Compact"/>
              <w:jc w:val="left"/>
            </w:pPr>
            <w:r>
              <w:t xml:space="preserve">3,875,400</w:t>
            </w:r>
          </w:p>
        </w:tc>
        <w:tc>
          <w:tcPr/>
          <w:p>
            <w:pPr>
              <w:pStyle w:val="Compact"/>
              <w:jc w:val="left"/>
            </w:pPr>
            <w:r>
              <w:t xml:space="preserve">114,180</w:t>
            </w:r>
          </w:p>
        </w:tc>
      </w:tr>
    </w:tbl>
    <w:p>
      <w:pPr>
        <w:pStyle w:val="BodyText"/>
      </w:pPr>
      <w:r>
        <w:t xml:space="preserve">All prices are exclusive of Value Added Tax (VAT). The applicable VAT rate in</w:t>
      </w:r>
      <w:r>
        <w:t xml:space="preserve"> </w:t>
      </w:r>
      <w:r>
        <w:t xml:space="preserve">Turkey Istanbul</w:t>
      </w:r>
      <w:r>
        <w:t xml:space="preserve"> </w:t>
      </w:r>
      <w:r>
        <w:t xml:space="preserve">is currently 20%. The client shall be responsible for any additional VAT, customs duties, or regulatory fees imposed by the Republic of Turkey upon the services rendered under this</w:t>
      </w:r>
      <w:r>
        <w:t xml:space="preserve"> </w:t>
      </w:r>
      <w:r>
        <w:t xml:space="preserve">Quotation Estimate</w:t>
      </w:r>
      <w:r>
        <w:t xml:space="preserve">.</w:t>
      </w:r>
    </w:p>
    <w:bookmarkEnd w:id="24"/>
    <w:bookmarkStart w:id="25" w:name="payment-terms"/>
    <w:p>
      <w:pPr>
        <w:pStyle w:val="Heading2"/>
      </w:pPr>
      <w:r>
        <w:t xml:space="preserve">5. Payment Terms</w:t>
      </w:r>
    </w:p>
    <w:p>
      <w:pPr>
        <w:pStyle w:val="FirstParagraph"/>
      </w:pPr>
      <w:r>
        <w:t xml:space="preserve">Payment for the</w:t>
      </w:r>
      <w:r>
        <w:t xml:space="preserve"> </w:t>
      </w:r>
      <w:r>
        <w:t xml:space="preserve">Data Scientist</w:t>
      </w:r>
      <w:r>
        <w:t xml:space="preserve"> </w:t>
      </w:r>
      <w:r>
        <w:t xml:space="preserve">services outlined in this</w:t>
      </w:r>
      <w:r>
        <w:t xml:space="preserve"> </w:t>
      </w:r>
      <w:r>
        <w:t xml:space="preserve">Quotation Estimate</w:t>
      </w:r>
      <w:r>
        <w:t xml:space="preserve"> </w:t>
      </w:r>
      <w:r>
        <w:t xml:space="preserve">shall be made on a monthly basis, in advance, via bank transfer to the designated account of Meridian Analytics Consulting Ltd. in</w:t>
      </w:r>
      <w:r>
        <w:t xml:space="preserve"> </w:t>
      </w:r>
      <w:r>
        <w:t xml:space="preserve">Turkey Istanbul</w:t>
      </w:r>
      <w:r>
        <w:t xml:space="preserve">. The first payment is due within ten (10) business days of the formal acceptance of this quotation. Subsequent monthly invoices will be issued on the first business day of each calendar month. Late payments shall incur a penalty of 1.5% per month, in accordance with Turkish commercial law.</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exchange rate changes, or resource availability in</w:t>
      </w:r>
      <w:r>
        <w:t xml:space="preserve"> </w:t>
      </w:r>
      <w:r>
        <w:t xml:space="preserve">Turkey Istanbul</w:t>
      </w:r>
      <w:r>
        <w:t xml:space="preserve">.</w:t>
      </w:r>
    </w:p>
    <w:p>
      <w:pPr>
        <w:numPr>
          <w:ilvl w:val="0"/>
          <w:numId w:val="1002"/>
        </w:numPr>
        <w:pStyle w:val="Compact"/>
      </w:pPr>
      <w:r>
        <w:t xml:space="preserve">The</w:t>
      </w:r>
      <w:r>
        <w:t xml:space="preserve"> </w:t>
      </w:r>
      <w:r>
        <w:t xml:space="preserve">Data Scientist</w:t>
      </w:r>
      <w:r>
        <w:t xml:space="preserve"> </w:t>
      </w:r>
      <w:r>
        <w:t xml:space="preserve">shall be bound by a strict Non-Disclosure Agreement (NDA) and a Non-Compete clause for a period of twelve (12) months following the termination of the engagement.</w:t>
      </w:r>
    </w:p>
    <w:p>
      <w:pPr>
        <w:numPr>
          <w:ilvl w:val="0"/>
          <w:numId w:val="1002"/>
        </w:numPr>
        <w:pStyle w:val="Compact"/>
      </w:pPr>
      <w:r>
        <w:t xml:space="preserve">All intellectual property, models, code, and documentation produced during the engagement shall become the sole property of the client upon full payment of the fees specified in this</w:t>
      </w:r>
      <w:r>
        <w:t xml:space="preserve"> </w:t>
      </w:r>
      <w:r>
        <w:t xml:space="preserve">Quotation Estimate</w:t>
      </w:r>
      <w:r>
        <w:t xml:space="preserve">.</w:t>
      </w:r>
    </w:p>
    <w:p>
      <w:pPr>
        <w:numPr>
          <w:ilvl w:val="0"/>
          <w:numId w:val="1002"/>
        </w:numPr>
        <w:pStyle w:val="Compact"/>
      </w:pPr>
      <w:r>
        <w:t xml:space="preserve">Either party may terminate the contract with a written notice of thirty (30) days. In the event of early termination, the client shall be liable for all services rendered up to the termination date plus a 10% administrative fee.</w:t>
      </w:r>
    </w:p>
    <w:p>
      <w:pPr>
        <w:numPr>
          <w:ilvl w:val="0"/>
          <w:numId w:val="1002"/>
        </w:numPr>
        <w:pStyle w:val="Compact"/>
      </w:pPr>
      <w:r>
        <w:t xml:space="preserve">This agreement shall be governed by and construed in accordance with the laws of the Republic of Turkey. Any disputes arising from this</w:t>
      </w:r>
      <w:r>
        <w:t xml:space="preserve"> </w:t>
      </w:r>
      <w:r>
        <w:t xml:space="preserve">Quotation Estimate</w:t>
      </w:r>
      <w:r>
        <w:t xml:space="preserve"> </w:t>
      </w:r>
      <w:r>
        <w:t xml:space="preserve">shall be resolved through arbitration in</w:t>
      </w:r>
      <w:r>
        <w:t xml:space="preserve"> </w:t>
      </w:r>
      <w:r>
        <w:t xml:space="preserve">Turkey Istanbul</w:t>
      </w:r>
      <w:r>
        <w:t xml:space="preserve"> </w:t>
      </w:r>
      <w:r>
        <w:t xml:space="preserve">under the rules of the Istanbul Arbitration Institute (ISTAC).</w:t>
      </w:r>
    </w:p>
    <w:p>
      <w:pPr>
        <w:numPr>
          <w:ilvl w:val="0"/>
          <w:numId w:val="1002"/>
        </w:numPr>
        <w:pStyle w:val="Compact"/>
      </w:pPr>
      <w:r>
        <w:t xml:space="preserve">The</w:t>
      </w:r>
      <w:r>
        <w:t xml:space="preserve"> </w:t>
      </w:r>
      <w:r>
        <w:t xml:space="preserve">Data Scientist</w:t>
      </w:r>
      <w:r>
        <w:t xml:space="preserve"> </w:t>
      </w:r>
      <w:r>
        <w:t xml:space="preserve">shall comply with all applicable Turkish labor laws, social security obligations, and professional ethical standards throughout the duration of the engagement.</w:t>
      </w:r>
    </w:p>
    <w:bookmarkEnd w:id="26"/>
    <w:bookmarkStart w:id="27" w:name="acceptance"/>
    <w:p>
      <w:pPr>
        <w:pStyle w:val="Heading2"/>
      </w:pPr>
      <w:r>
        <w:t xml:space="preserve">7. Acceptance</w:t>
      </w:r>
    </w:p>
    <w:p>
      <w:pPr>
        <w:pStyle w:val="FirstParagraph"/>
      </w:pPr>
      <w:r>
        <w:t xml:space="preserve">By signing below, the client acknowledges and accepts all terms, conditions, and financial figures set forth in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Turkey Istanbul</w:t>
      </w:r>
      <w:r>
        <w:t xml:space="preserve">. This document, once countersigned by both parties, shall constitute a binding service agreement.</w:t>
      </w:r>
    </w:p>
    <w:p>
      <w:pPr>
        <w:pStyle w:val="BodyText"/>
      </w:pPr>
      <w:r>
        <w:rPr>
          <w:bCs/>
          <w:b/>
        </w:rPr>
        <w:t xml:space="preserve">For Meridian Analytics Consulting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This Quotation Estimate document QE-2025-TR-IST-0472 is the property of Meridian Analytics Consulting Ltd. and is intended solely for the use of the addressee. Unauthorized reproduction or distribution is prohibited. All references to Turkey Istanbul pertain to the European and Asian districts of Istanbul, Republic of Turkey. This Quotation Estimate does not constitute a guarantee of specific business outcomes but represents a good-faith estimate of professional Data Scientist services and associated costs.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Turkey Istanbul</dc:title>
  <dc:creator/>
  <dc:language>en</dc:language>
  <cp:keywords/>
  <dcterms:created xsi:type="dcterms:W3CDTF">2026-10-10T03:58:08Z</dcterms:created>
  <dcterms:modified xsi:type="dcterms:W3CDTF">2026-10-10T03:58:08Z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