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Professional Data Scientist Services</w:t>
      </w:r>
    </w:p>
    <w:p>
      <w:pPr>
        <w:pStyle w:val="BodyText"/>
      </w:pPr>
      <w:r>
        <w:t xml:space="preserve">United Arab Emirates Dubai</w:t>
      </w:r>
    </w:p>
    <w:p>
      <w:pPr>
        <w:pStyle w:val="BodyText"/>
      </w:pPr>
      <w:r>
        <w:t xml:space="preserve">Ref: QE-DS-UAE-2025-0047</w:t>
      </w:r>
    </w:p>
    <w:bookmarkEnd w:id="20"/>
    <w:bookmarkStart w:id="21" w:name="prepared-by"/>
    <w:p>
      <w:pPr>
        <w:pStyle w:val="Heading3"/>
      </w:pPr>
      <w:r>
        <w:t xml:space="preserve">Prepared By</w:t>
      </w:r>
    </w:p>
    <w:p>
      <w:pPr>
        <w:pStyle w:val="FirstParagraph"/>
      </w:pPr>
      <w:r>
        <w:rPr>
          <w:bCs/>
          <w:b/>
        </w:rPr>
        <w:t xml:space="preserve">Apex Analytics Solutions LLC</w:t>
      </w:r>
    </w:p>
    <w:p>
      <w:pPr>
        <w:pStyle w:val="BodyText"/>
      </w:pPr>
      <w:r>
        <w:t xml:space="preserve">Office 1204, Level 12, Dubai Internet City</w:t>
      </w:r>
    </w:p>
    <w:p>
      <w:pPr>
        <w:pStyle w:val="BodyText"/>
      </w:pPr>
      <w:r>
        <w:t xml:space="preserve">United Arab Emirates Dubai</w:t>
      </w:r>
    </w:p>
    <w:p>
      <w:pPr>
        <w:pStyle w:val="BodyText"/>
      </w:pPr>
      <w:r>
        <w:t xml:space="preserve">Email: quotes@apexanalytics.ae</w:t>
      </w:r>
    </w:p>
    <w:p>
      <w:pPr>
        <w:pStyle w:val="BodyText"/>
      </w:pPr>
      <w:r>
        <w:t xml:space="preserve">Phone: +971 4 555 0192</w:t>
      </w:r>
    </w:p>
    <w:bookmarkEnd w:id="21"/>
    <w:bookmarkStart w:id="22" w:name="prepared-for"/>
    <w:p>
      <w:pPr>
        <w:pStyle w:val="Heading3"/>
      </w:pPr>
      <w:r>
        <w:t xml:space="preserve">Prepared For</w:t>
      </w:r>
    </w:p>
    <w:p>
      <w:pPr>
        <w:pStyle w:val="FirstParagraph"/>
      </w:pPr>
      <w:r>
        <w:rPr>
          <w:bCs/>
          <w:b/>
        </w:rPr>
        <w:t xml:space="preserve">Client Name / Organization</w:t>
      </w:r>
    </w:p>
    <w:p>
      <w:pPr>
        <w:pStyle w:val="BodyText"/>
      </w:pPr>
      <w:r>
        <w:t xml:space="preserve">Address in United Arab Emirates Dubai</w:t>
      </w:r>
    </w:p>
    <w:p>
      <w:pPr>
        <w:pStyle w:val="BodyText"/>
      </w:pPr>
      <w:r>
        <w:t xml:space="preserve">United Arab Emirates</w:t>
      </w:r>
    </w:p>
    <w:p>
      <w:pPr>
        <w:pStyle w:val="BodyText"/>
      </w:pPr>
      <w:r>
        <w:t xml:space="preserve">Email: client@company.ae</w:t>
      </w:r>
    </w:p>
    <w:p>
      <w:pPr>
        <w:pStyle w:val="BodyText"/>
      </w:pPr>
      <w:r>
        <w:t xml:space="preserve">Phone: +971 50 000 0000</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AED (United Arab Emirates Dirham)</w:t>
      </w:r>
    </w:p>
    <w:bookmarkEnd w:id="23"/>
    <w:bookmarkStart w:id="24" w:name="project-reference"/>
    <w:p>
      <w:pPr>
        <w:pStyle w:val="Heading3"/>
      </w:pPr>
      <w:r>
        <w:t xml:space="preserve">Project Reference</w:t>
      </w:r>
    </w:p>
    <w:p>
      <w:pPr>
        <w:pStyle w:val="FirstParagraph"/>
      </w:pPr>
      <w:r>
        <w:rPr>
          <w:bCs/>
          <w:b/>
        </w:rPr>
        <w:t xml:space="preserve">Role:</w:t>
      </w:r>
      <w:r>
        <w:t xml:space="preserve"> </w:t>
      </w:r>
      <w:r>
        <w:t xml:space="preserve">Data Scientist</w:t>
      </w:r>
    </w:p>
    <w:p>
      <w:pPr>
        <w:pStyle w:val="BodyText"/>
      </w:pPr>
      <w:r>
        <w:rPr>
          <w:bCs/>
          <w:b/>
        </w:rPr>
        <w:t xml:space="preserve">Location:</w:t>
      </w:r>
      <w:r>
        <w:t xml:space="preserve"> </w:t>
      </w:r>
      <w:r>
        <w:t xml:space="preserve">United Arab Emirates Dubai</w:t>
      </w:r>
    </w:p>
    <w:p>
      <w:pPr>
        <w:pStyle w:val="BodyText"/>
      </w:pPr>
      <w:r>
        <w:rPr>
          <w:bCs/>
          <w:b/>
        </w:rPr>
        <w:t xml:space="preserve">Engagement Type:</w:t>
      </w:r>
      <w:r>
        <w:t xml:space="preserve"> </w:t>
      </w:r>
      <w:r>
        <w:t xml:space="preserve">Full-Time / Contract</w:t>
      </w:r>
    </w:p>
    <w:bookmarkEnd w:id="24"/>
    <w:bookmarkStart w:id="25"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Apex Analytics Solutions LLC to provide a comprehensive financial and operational breakdown for the engagement of a senior</w:t>
      </w:r>
      <w:r>
        <w:t xml:space="preserve"> </w:t>
      </w:r>
      <w:r>
        <w:t xml:space="preserve">Data Scientist</w:t>
      </w:r>
      <w:r>
        <w:t xml:space="preserve"> </w:t>
      </w:r>
      <w:r>
        <w:t xml:space="preserve">professional based in</w:t>
      </w:r>
      <w:r>
        <w:t xml:space="preserve"> </w:t>
      </w:r>
      <w:r>
        <w:t xml:space="preserve">United Arab Emirates Dubai</w:t>
      </w:r>
      <w:r>
        <w:t xml:space="preserve">. This document outlines the scope of services, deliverables, pricing structure, and terms governing the proposed engagement. The</w:t>
      </w:r>
      <w:r>
        <w:t xml:space="preserve"> </w:t>
      </w:r>
      <w:r>
        <w:t xml:space="preserve">Data Scientist</w:t>
      </w:r>
      <w:r>
        <w:t xml:space="preserve"> </w:t>
      </w:r>
      <w:r>
        <w:t xml:space="preserve">will be deployed to support the client's analytics, machine learning, and predictive modeling initiatives within the dynamic business environment of</w:t>
      </w:r>
      <w:r>
        <w:t xml:space="preserve"> </w:t>
      </w:r>
      <w:r>
        <w:t xml:space="preserve">United Arab Emirates Dubai</w:t>
      </w:r>
      <w:r>
        <w:t xml:space="preserve">, one of the world's leading hubs for technology, finance, and innovation.</w:t>
      </w:r>
    </w:p>
    <w:bookmarkEnd w:id="25"/>
    <w:bookmarkStart w:id="26" w:name="scope-of-work-data-scientist-role"/>
    <w:p>
      <w:pPr>
        <w:pStyle w:val="Heading2"/>
      </w:pPr>
      <w:r>
        <w:t xml:space="preserve">2. Scope of Work – Data Scientist Role</w:t>
      </w:r>
    </w:p>
    <w:p>
      <w:pPr>
        <w:pStyle w:val="FirstParagraph"/>
      </w:pPr>
      <w:r>
        <w:t xml:space="preserve">The</w:t>
      </w:r>
      <w:r>
        <w:t xml:space="preserve"> </w:t>
      </w:r>
      <w:r>
        <w:t xml:space="preserve">Data Scientist</w:t>
      </w:r>
      <w:r>
        <w:t xml:space="preserve"> </w:t>
      </w:r>
      <w:r>
        <w:t xml:space="preserve">engaged under this</w:t>
      </w:r>
      <w:r>
        <w:t xml:space="preserve"> </w:t>
      </w:r>
      <w:r>
        <w:t xml:space="preserve">Quotation Estimate</w:t>
      </w:r>
      <w:r>
        <w:t xml:space="preserve"> </w:t>
      </w:r>
      <w:r>
        <w:t xml:space="preserve">will perform the following core responsibilities within the</w:t>
      </w:r>
      <w:r>
        <w:t xml:space="preserve"> </w:t>
      </w:r>
      <w:r>
        <w:t xml:space="preserve">United Arab Emirates Dubai</w:t>
      </w:r>
      <w:r>
        <w:t xml:space="preserve"> </w:t>
      </w:r>
      <w:r>
        <w:t xml:space="preserve">market:</w:t>
      </w:r>
    </w:p>
    <w:p>
      <w:pPr>
        <w:numPr>
          <w:ilvl w:val="0"/>
          <w:numId w:val="1001"/>
        </w:numPr>
        <w:pStyle w:val="Compact"/>
      </w:pPr>
      <w:r>
        <w:t xml:space="preserve">Design, develop, and deploy machine learning models and deep learning architectures tailored to the client's business objectives in the United Arab Emirates Dubai region.</w:t>
      </w:r>
    </w:p>
    <w:p>
      <w:pPr>
        <w:numPr>
          <w:ilvl w:val="0"/>
          <w:numId w:val="1001"/>
        </w:numPr>
        <w:pStyle w:val="Compact"/>
      </w:pPr>
      <w:r>
        <w:t xml:space="preserve">Perform advanced statistical analysis, exploratory data analysis (EDA), and predictive modeling on structured and unstructured datasets.</w:t>
      </w:r>
    </w:p>
    <w:p>
      <w:pPr>
        <w:numPr>
          <w:ilvl w:val="0"/>
          <w:numId w:val="1001"/>
        </w:numPr>
        <w:pStyle w:val="Compact"/>
      </w:pPr>
      <w:r>
        <w:t xml:space="preserve">Build and maintain data pipelines using Python, R, SQL, and cloud-based platforms (AWS, Azure, or GCP) hosted in United Arab Emirates data centers.</w:t>
      </w:r>
    </w:p>
    <w:p>
      <w:pPr>
        <w:numPr>
          <w:ilvl w:val="0"/>
          <w:numId w:val="1001"/>
        </w:numPr>
        <w:pStyle w:val="Compact"/>
      </w:pPr>
      <w:r>
        <w:t xml:space="preserve">Develop natural language processing (NLP) solutions and computer vision applications relevant to the client's operations in United Arab Emirates Dubai.</w:t>
      </w:r>
    </w:p>
    <w:p>
      <w:pPr>
        <w:numPr>
          <w:ilvl w:val="0"/>
          <w:numId w:val="1001"/>
        </w:numPr>
        <w:pStyle w:val="Compact"/>
      </w:pPr>
      <w:r>
        <w:t xml:space="preserve">Collaborate with cross-functional teams including engineering, product, and business stakeholders to translate data insights into actionable strategies.</w:t>
      </w:r>
    </w:p>
    <w:p>
      <w:pPr>
        <w:numPr>
          <w:ilvl w:val="0"/>
          <w:numId w:val="1001"/>
        </w:numPr>
        <w:pStyle w:val="Compact"/>
      </w:pPr>
      <w:r>
        <w:t xml:space="preserve">Ensure compliance with United Arab Emirates data protection regulations, including the UAE Personal Data Protection Law (PDPL) and Dubai-specific data governance frameworks.</w:t>
      </w:r>
    </w:p>
    <w:p>
      <w:pPr>
        <w:numPr>
          <w:ilvl w:val="0"/>
          <w:numId w:val="1001"/>
        </w:numPr>
        <w:pStyle w:val="Compact"/>
      </w:pPr>
      <w:r>
        <w:t xml:space="preserve">Present findings, model performance metrics, and strategic recommendations to senior leadership and board members.</w:t>
      </w:r>
    </w:p>
    <w:p>
      <w:pPr>
        <w:numPr>
          <w:ilvl w:val="0"/>
          <w:numId w:val="1001"/>
        </w:numPr>
        <w:pStyle w:val="Compact"/>
      </w:pPr>
      <w:r>
        <w:t xml:space="preserve">Provide ongoing model monitoring, retraining, and optimization to maintain accuracy and relevance in the fast-evolving United Arab Emirates Dubai market.</w:t>
      </w:r>
    </w:p>
    <w:bookmarkEnd w:id="26"/>
    <w:bookmarkStart w:id="27" w:name="pricing-breakdown"/>
    <w:p>
      <w:pPr>
        <w:pStyle w:val="Heading2"/>
      </w:pPr>
      <w:r>
        <w:t xml:space="preserve">3. Pricing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Senior Data Scientist – Monthly Retainer</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Initial Onboarding &amp; Knowledge Transfer</w:t>
            </w:r>
          </w:p>
        </w:tc>
        <w:tc>
          <w:tcPr/>
          <w:p>
            <w:pPr>
              <w:pStyle w:val="Compact"/>
              <w:jc w:val="left"/>
            </w:pPr>
            <w:r>
              <w:t xml:space="preserve">2 weeks</w:t>
            </w:r>
          </w:p>
        </w:tc>
        <w:tc>
          <w:tcPr/>
          <w:p>
            <w:pPr>
              <w:pStyle w:val="Compact"/>
              <w:jc w:val="left"/>
            </w:pPr>
            <w:r>
              <w:t xml:space="preserve">—</w:t>
            </w:r>
          </w:p>
        </w:tc>
        <w:tc>
          <w:tcPr/>
          <w:p>
            <w:pPr>
              <w:pStyle w:val="Compact"/>
              <w:jc w:val="left"/>
            </w:pPr>
            <w:r>
              <w:t xml:space="preserve">15,000</w:t>
            </w:r>
          </w:p>
        </w:tc>
      </w:tr>
      <w:tr>
        <w:tc>
          <w:tcPr/>
          <w:p>
            <w:pPr>
              <w:pStyle w:val="Compact"/>
              <w:jc w:val="left"/>
            </w:pPr>
            <w:r>
              <w:t xml:space="preserve">3</w:t>
            </w:r>
          </w:p>
        </w:tc>
        <w:tc>
          <w:tcPr/>
          <w:p>
            <w:pPr>
              <w:pStyle w:val="Compact"/>
              <w:jc w:val="left"/>
            </w:pPr>
            <w:r>
              <w:t xml:space="preserve">Machine Learning Model Development (3 sprints)</w:t>
            </w:r>
          </w:p>
        </w:tc>
        <w:tc>
          <w:tcPr/>
          <w:p>
            <w:pPr>
              <w:pStyle w:val="Compact"/>
              <w:jc w:val="left"/>
            </w:pPr>
            <w:r>
              <w:t xml:space="preserve">Per sprint</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4</w:t>
            </w:r>
          </w:p>
        </w:tc>
        <w:tc>
          <w:tcPr/>
          <w:p>
            <w:pPr>
              <w:pStyle w:val="Compact"/>
              <w:jc w:val="left"/>
            </w:pPr>
            <w:r>
              <w:t xml:space="preserve">Cloud Infrastructure Setup &amp; Configuration (UAE Region)</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35,000</w:t>
            </w:r>
          </w:p>
        </w:tc>
      </w:tr>
      <w:tr>
        <w:tc>
          <w:tcPr/>
          <w:p>
            <w:pPr>
              <w:pStyle w:val="Compact"/>
              <w:jc w:val="left"/>
            </w:pPr>
            <w:r>
              <w:t xml:space="preserve">5</w:t>
            </w:r>
          </w:p>
        </w:tc>
        <w:tc>
          <w:tcPr/>
          <w:p>
            <w:pPr>
              <w:pStyle w:val="Compact"/>
              <w:jc w:val="left"/>
            </w:pPr>
            <w:r>
              <w:t xml:space="preserve">Data Governance &amp; UAE PDPL Compliance Audit</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20,000</w:t>
            </w:r>
          </w:p>
        </w:tc>
      </w:tr>
      <w:tr>
        <w:tc>
          <w:tcPr/>
          <w:p>
            <w:pPr>
              <w:pStyle w:val="Compact"/>
              <w:jc w:val="left"/>
            </w:pPr>
            <w:r>
              <w:t xml:space="preserve">6</w:t>
            </w:r>
          </w:p>
        </w:tc>
        <w:tc>
          <w:tcPr/>
          <w:p>
            <w:pPr>
              <w:pStyle w:val="Compact"/>
              <w:jc w:val="left"/>
            </w:pPr>
            <w:r>
              <w:t xml:space="preserve">Monthly Reporting &amp; Stakeholder Presentations</w:t>
            </w:r>
          </w:p>
        </w:tc>
        <w:tc>
          <w:tcPr/>
          <w:p>
            <w:pPr>
              <w:pStyle w:val="Compact"/>
              <w:jc w:val="left"/>
            </w:pPr>
            <w:r>
              <w:t xml:space="preserve">12 months</w:t>
            </w:r>
          </w:p>
        </w:tc>
        <w:tc>
          <w:tcPr/>
          <w:p>
            <w:pPr>
              <w:pStyle w:val="Compact"/>
              <w:jc w:val="left"/>
            </w:pPr>
            <w:r>
              <w:t xml:space="preserve">5,000</w:t>
            </w:r>
          </w:p>
        </w:tc>
        <w:tc>
          <w:tcPr/>
          <w:p>
            <w:pPr>
              <w:pStyle w:val="Compact"/>
              <w:jc w:val="left"/>
            </w:pPr>
            <w:r>
              <w:t xml:space="preserve">60,000</w:t>
            </w:r>
          </w:p>
        </w:tc>
      </w:tr>
      <w:tr>
        <w:tc>
          <w:tcPr/>
          <w:p>
            <w:pPr>
              <w:pStyle w:val="Compact"/>
              <w:jc w:val="left"/>
            </w:pPr>
            <w:r>
              <w:t xml:space="preserve">7</w:t>
            </w:r>
          </w:p>
        </w:tc>
        <w:tc>
          <w:tcPr/>
          <w:p>
            <w:pPr>
              <w:pStyle w:val="Compact"/>
              <w:jc w:val="left"/>
            </w:pPr>
            <w:r>
              <w:t xml:space="preserve">Travel &amp; Local Transportation (Dubai Metro / Taxi)</w:t>
            </w:r>
          </w:p>
        </w:tc>
        <w:tc>
          <w:tcPr/>
          <w:p>
            <w:pPr>
              <w:pStyle w:val="Compact"/>
              <w:jc w:val="left"/>
            </w:pPr>
            <w:r>
              <w:t xml:space="preserve">12 months</w:t>
            </w:r>
          </w:p>
        </w:tc>
        <w:tc>
          <w:tcPr/>
          <w:p>
            <w:pPr>
              <w:pStyle w:val="Compact"/>
              <w:jc w:val="left"/>
            </w:pPr>
            <w:r>
              <w:t xml:space="preserve">2,500</w:t>
            </w:r>
          </w:p>
        </w:tc>
        <w:tc>
          <w:tcPr/>
          <w:p>
            <w:pPr>
              <w:pStyle w:val="Compact"/>
              <w:jc w:val="left"/>
            </w:pPr>
            <w:r>
              <w:t xml:space="preserve">30,000</w:t>
            </w:r>
          </w:p>
        </w:tc>
      </w:tr>
      <w:tr>
        <w:tc>
          <w:tcPr/>
          <w:p>
            <w:pPr>
              <w:pStyle w:val="Compact"/>
              <w:jc w:val="left"/>
            </w:pPr>
            <w:r>
              <w:t xml:space="preserve">8</w:t>
            </w:r>
          </w:p>
        </w:tc>
        <w:tc>
          <w:tcPr/>
          <w:p>
            <w:pPr>
              <w:pStyle w:val="Compact"/>
              <w:jc w:val="left"/>
            </w:pPr>
            <w:r>
              <w:t xml:space="preserve">Software Licenses &amp; Tooling (Annual)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18,000</w:t>
            </w:r>
          </w:p>
        </w:tc>
      </w:tr>
      <w:tr>
        <w:tc>
          <w:tcPr>
            <w:gridSpan w:val="4"/>
          </w:tcPr>
          <w:p>
            <w:pPr>
              <w:pStyle w:val="Compact"/>
              <w:jc w:val="left"/>
            </w:pPr>
            <w:r>
              <w:rPr>
                <w:bCs/>
                <w:b/>
              </w:rPr>
              <w:t xml:space="preserve">Subtotal (AED)</w:t>
            </w:r>
          </w:p>
        </w:tc>
        <w:tc>
          <w:tcPr/>
          <w:p>
            <w:pPr>
              <w:pStyle w:val="Compact"/>
              <w:jc w:val="left"/>
            </w:pPr>
            <w:r>
              <w:rPr>
                <w:bCs/>
                <w:b/>
              </w:rPr>
              <w:t xml:space="preserve">793,000</w:t>
            </w:r>
          </w:p>
        </w:tc>
      </w:tr>
      <w:tr>
        <w:tc>
          <w:tcPr>
            <w:gridSpan w:val="4"/>
          </w:tcPr>
          <w:p>
            <w:pPr>
              <w:pStyle w:val="Compact"/>
              <w:jc w:val="left"/>
            </w:pPr>
            <w:r>
              <w:rPr>
                <w:bCs/>
                <w:b/>
              </w:rPr>
              <w:t xml:space="preserve">VAT (5% – UAE Standard Rate)</w:t>
            </w:r>
          </w:p>
        </w:tc>
        <w:tc>
          <w:tcPr/>
          <w:p>
            <w:pPr>
              <w:pStyle w:val="Compact"/>
              <w:jc w:val="left"/>
            </w:pPr>
            <w:r>
              <w:rPr>
                <w:bCs/>
                <w:b/>
              </w:rPr>
              <w:t xml:space="preserve">39,650</w:t>
            </w:r>
          </w:p>
        </w:tc>
      </w:tr>
      <w:tr>
        <w:tc>
          <w:tcPr>
            <w:gridSpan w:val="4"/>
          </w:tcPr>
          <w:p>
            <w:pPr>
              <w:pStyle w:val="Compact"/>
              <w:jc w:val="left"/>
            </w:pPr>
            <w:r>
              <w:rPr>
                <w:bCs/>
                <w:b/>
              </w:rPr>
              <w:t xml:space="preserve">Grand Total (AED)</w:t>
            </w:r>
          </w:p>
        </w:tc>
        <w:tc>
          <w:tcPr/>
          <w:p>
            <w:pPr>
              <w:pStyle w:val="Compact"/>
              <w:jc w:val="left"/>
            </w:pPr>
            <w:r>
              <w:rPr>
                <w:bCs/>
                <w:b/>
              </w:rPr>
              <w:t xml:space="preserve">832,650</w:t>
            </w:r>
          </w:p>
        </w:tc>
      </w:tr>
    </w:tbl>
    <w:bookmarkEnd w:id="27"/>
    <w:bookmarkStart w:id="28" w:name="payment-terms"/>
    <w:p>
      <w:pPr>
        <w:pStyle w:val="Heading2"/>
      </w:pPr>
      <w:r>
        <w:t xml:space="preserve">4. Payment Terms</w:t>
      </w:r>
    </w:p>
    <w:p>
      <w:pPr>
        <w:numPr>
          <w:ilvl w:val="0"/>
          <w:numId w:val="1002"/>
        </w:numPr>
        <w:pStyle w:val="Compact"/>
      </w:pPr>
      <w:r>
        <w:t xml:space="preserve">25% advance payment upon acceptance of this Quotation Estimate.</w:t>
      </w:r>
    </w:p>
    <w:p>
      <w:pPr>
        <w:numPr>
          <w:ilvl w:val="0"/>
          <w:numId w:val="1002"/>
        </w:numPr>
        <w:pStyle w:val="Compact"/>
      </w:pPr>
      <w:r>
        <w:t xml:space="preserve">Monthly invoicing for the Data Scientist retainer, payable within 14 days of invoice date.</w:t>
      </w:r>
    </w:p>
    <w:p>
      <w:pPr>
        <w:numPr>
          <w:ilvl w:val="0"/>
          <w:numId w:val="1002"/>
        </w:numPr>
        <w:pStyle w:val="Compact"/>
      </w:pPr>
      <w:r>
        <w:t xml:space="preserve">One-time charges (Items 2, 4, 5) payable upon completion of the respective milestone.</w:t>
      </w:r>
    </w:p>
    <w:p>
      <w:pPr>
        <w:numPr>
          <w:ilvl w:val="0"/>
          <w:numId w:val="1002"/>
        </w:numPr>
        <w:pStyle w:val="Compact"/>
      </w:pPr>
      <w:r>
        <w:t xml:space="preserve">All payments to be made in AED via bank transfer to the designated account in United Arab Emirates Dubai.</w:t>
      </w:r>
    </w:p>
    <w:p>
      <w:pPr>
        <w:numPr>
          <w:ilvl w:val="0"/>
          <w:numId w:val="1002"/>
        </w:numPr>
        <w:pStyle w:val="Compact"/>
      </w:pPr>
      <w:r>
        <w:t xml:space="preserve">Late payments shall incur a penalty of 2% per month as per UAE commercial law.</w:t>
      </w:r>
    </w:p>
    <w:bookmarkEnd w:id="28"/>
    <w:bookmarkStart w:id="29" w:name="terms-and-conditions"/>
    <w:p>
      <w:pPr>
        <w:pStyle w:val="Heading2"/>
      </w:pPr>
      <w:r>
        <w:t xml:space="preserve">5. Terms and Conditions</w:t>
      </w:r>
    </w:p>
    <w:p>
      <w:pPr>
        <w:numPr>
          <w:ilvl w:val="0"/>
          <w:numId w:val="1003"/>
        </w:numPr>
        <w:pStyle w:val="Compact"/>
      </w:pPr>
      <w:r>
        <w:t xml:space="preserve">This Quotation Estimate is valid for 30 calendar days from the date of issue. After expiry, pricing for the Data Scientist engagement may be subject to revision based on market conditions in United Arab Emirates Dubai.</w:t>
      </w:r>
    </w:p>
    <w:p>
      <w:pPr>
        <w:numPr>
          <w:ilvl w:val="0"/>
          <w:numId w:val="1003"/>
        </w:numPr>
        <w:pStyle w:val="Compact"/>
      </w:pPr>
      <w:r>
        <w:t xml:space="preserve">The Data Scientist shall be bound by a strict Non-Disclosure Agreement (NDA) and Intellectual Property (IP) assignment clause, ensuring all models, code, and insights developed remain the exclusive property of the client.</w:t>
      </w:r>
    </w:p>
    <w:p>
      <w:pPr>
        <w:numPr>
          <w:ilvl w:val="0"/>
          <w:numId w:val="1003"/>
        </w:numPr>
        <w:pStyle w:val="Compact"/>
      </w:pPr>
      <w:r>
        <w:t xml:space="preserve">Work will be performed primarily at the client's office in United Arab Emirates Dubai, with up to 2 days per week of remote work permitted by mutual agreement.</w:t>
      </w:r>
    </w:p>
    <w:p>
      <w:pPr>
        <w:numPr>
          <w:ilvl w:val="0"/>
          <w:numId w:val="1003"/>
        </w:numPr>
        <w:pStyle w:val="Compact"/>
      </w:pPr>
      <w:r>
        <w:t xml:space="preserve">Either party may terminate the engagement with 30 days' written notice. In such cases, a pro-rata settlement of the Data Scientist retainer will apply.</w:t>
      </w:r>
    </w:p>
    <w:p>
      <w:pPr>
        <w:numPr>
          <w:ilvl w:val="0"/>
          <w:numId w:val="1003"/>
        </w:numPr>
        <w:pStyle w:val="Compact"/>
      </w:pPr>
      <w:r>
        <w:t xml:space="preserve">This Quotation Estimate is governed by the laws of the United Arab Emirates, and any disputes shall be resolved through the Dubai Courts or the Dubai International Financial Centre (DIFC) Courts, as applicable.</w:t>
      </w:r>
    </w:p>
    <w:p>
      <w:pPr>
        <w:numPr>
          <w:ilvl w:val="0"/>
          <w:numId w:val="1003"/>
        </w:numPr>
        <w:pStyle w:val="Compact"/>
      </w:pPr>
      <w:r>
        <w:t xml:space="preserve">The Data Scientist shall comply with all UAE labor laws, visa requirements, and professional licensing regulations applicable in United Arab Emirates Dubai.</w:t>
      </w:r>
    </w:p>
    <w:bookmarkEnd w:id="29"/>
    <w:bookmarkStart w:id="30" w:name="acceptance-and-authorization"/>
    <w:p>
      <w:pPr>
        <w:pStyle w:val="Heading2"/>
      </w:pPr>
      <w:r>
        <w:t xml:space="preserve">6. Acceptance and Authorization</w:t>
      </w:r>
    </w:p>
    <w:p>
      <w:pPr>
        <w:pStyle w:val="FirstParagraph"/>
      </w:pPr>
      <w:r>
        <w:t xml:space="preserve">By signing below, both parties acknowledge and agree to the terms, conditions, and pricing outlined in this Quotation Estimate for the Data Scientist engagement in United Arab Emirates Dubai.</w:t>
      </w:r>
    </w:p>
    <w:p>
      <w:pPr>
        <w:pStyle w:val="BodyText"/>
      </w:pPr>
      <w:r>
        <w:rPr>
          <w:bCs/>
          <w:b/>
        </w:rPr>
        <w:t xml:space="preserve">For Apex Analytics Solutions LLC</w:t>
      </w:r>
      <w:r>
        <w:br/>
      </w:r>
      <w:r>
        <w:t xml:space="preserve">Authorized Signatory</w:t>
      </w:r>
      <w:r>
        <w:br/>
      </w:r>
      <w:r>
        <w:t xml:space="preserve">Date: _______________</w:t>
      </w:r>
    </w:p>
    <w:p>
      <w:pPr>
        <w:pStyle w:val="BodyText"/>
      </w:pPr>
      <w:r>
        <w:rPr>
          <w:bCs/>
          <w:b/>
        </w:rPr>
        <w:t xml:space="preserve">For the Client</w:t>
      </w:r>
      <w:r>
        <w:br/>
      </w:r>
      <w:r>
        <w:t xml:space="preserve">Authorized Signatory</w:t>
      </w:r>
      <w:r>
        <w:br/>
      </w:r>
      <w:r>
        <w:t xml:space="preserve">Date: _______________</w:t>
      </w:r>
    </w:p>
    <w:p>
      <w:pPr>
        <w:pStyle w:val="BodyText"/>
      </w:pPr>
      <w:r>
        <w:t xml:space="preserve">Apex Analytics Solutions LLC | Dubai Internet City, United Arab Emirates Dubai | CR: 1234567 | TRN: 100123456700003</w:t>
      </w:r>
    </w:p>
    <w:p>
      <w:pPr>
        <w:pStyle w:val="BodyText"/>
      </w:pPr>
      <w:r>
        <w:t xml:space="preserve">This Quotation Estimate is a confidential document intended solely for the named recipient. Unauthorized distribution is prohibited.</w:t>
      </w:r>
    </w:p>
    <w:p>
      <w:pPr>
        <w:pStyle w:val="BodyText"/>
      </w:pPr>
      <w:r>
        <w:t xml:space="preserve">Document generated on 15 June 2025 | Page 1 of 1</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United Arab Emirates Dubai</dc:title>
  <dc:creator/>
  <dc:language>en</dc:language>
  <cp:keywords/>
  <dcterms:created xsi:type="dcterms:W3CDTF">2026-10-10T05:47:28Z</dcterms:created>
  <dcterms:modified xsi:type="dcterms:W3CDTF">2026-10-10T05:47:28Z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