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quotation-estimate"/>
    <w:p>
      <w:pPr>
        <w:pStyle w:val="Heading1"/>
      </w:pPr>
      <w:r>
        <w:t xml:space="preserve">Quotation Estimate</w:t>
      </w:r>
    </w:p>
    <w:p>
      <w:pPr>
        <w:pStyle w:val="FirstParagraph"/>
      </w:pPr>
      <w:r>
        <w:t xml:space="preserve">Professional Data Scientist Services</w:t>
      </w:r>
    </w:p>
    <w:p>
      <w:pPr>
        <w:pStyle w:val="BodyText"/>
      </w:pPr>
      <w:r>
        <w:t xml:space="preserve">United Kingdom Birmingham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QTE-2025-BHM-DS-0047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By:</w:t>
            </w:r>
          </w:p>
        </w:tc>
        <w:tc>
          <w:tcPr/>
          <w:p>
            <w:pPr>
              <w:pStyle w:val="Compact"/>
              <w:jc w:val="left"/>
            </w:pPr>
            <w:r>
              <w:t xml:space="preserve">Apex Analytics Consultancy Ltd, 142 New Street, Birmingham, B2 4HA, United Kingdom</w:t>
            </w:r>
          </w:p>
        </w:tc>
      </w:tr>
      <w:tr>
        <w:tc>
          <w:tcPr/>
          <w:p>
            <w:pPr>
              <w:pStyle w:val="Compact"/>
              <w:jc w:val="left"/>
            </w:pPr>
            <w:r>
              <w:t xml:space="preserve">Prepared For:</w:t>
            </w:r>
          </w:p>
        </w:tc>
        <w:tc>
          <w:tcPr/>
          <w:p>
            <w:pPr>
              <w:pStyle w:val="Compact"/>
              <w:jc w:val="left"/>
            </w:pPr>
            <w:r>
              <w:t xml:space="preserve">[Client Name], [Client Address], Birmingham, United Kingdom</w:t>
            </w:r>
          </w:p>
        </w:tc>
      </w:tr>
      <w:tr>
        <w:tc>
          <w:tcPr/>
          <w:p>
            <w:pPr>
              <w:pStyle w:val="Compact"/>
              <w:jc w:val="left"/>
            </w:pPr>
            <w:r>
              <w:t xml:space="preserve">Service Category:</w:t>
            </w:r>
          </w:p>
        </w:tc>
        <w:tc>
          <w:tcPr/>
          <w:p>
            <w:pPr>
              <w:pStyle w:val="Compact"/>
              <w:jc w:val="left"/>
            </w:pPr>
            <w:r>
              <w:t xml:space="preserve">Data Scientist – Full Engagement (On-site &amp; Remote Hybrid)</w:t>
            </w:r>
          </w:p>
        </w:tc>
      </w:tr>
      <w:tr>
        <w:tc>
          <w:tcPr/>
          <w:p>
            <w:pPr>
              <w:pStyle w:val="Compact"/>
              <w:jc w:val="left"/>
            </w:pPr>
            <w:r>
              <w:t xml:space="preserve">Location of Work:</w:t>
            </w:r>
          </w:p>
        </w:tc>
        <w:tc>
          <w:tcPr/>
          <w:p>
            <w:pPr>
              <w:pStyle w:val="Compact"/>
              <w:jc w:val="left"/>
            </w:pPr>
            <w:r>
              <w:t xml:space="preserve">United Kingdom Birmingham (primary office) and remote</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Apex Analytics Consultancy Ltd to provide a comprehensive and transparent financial proposal for the engagement of a senior</w:t>
      </w:r>
      <w:r>
        <w:t xml:space="preserve"> </w:t>
      </w:r>
      <w:r>
        <w:t xml:space="preserve">Data Scientist</w:t>
      </w:r>
      <w:r>
        <w:t xml:space="preserve"> </w:t>
      </w:r>
      <w:r>
        <w:t xml:space="preserve">to deliver advanced analytics, machine learning model development, and data strategy services. The engagement is specifically tailored for operations based in</w:t>
      </w:r>
      <w:r>
        <w:t xml:space="preserve"> </w:t>
      </w:r>
      <w:r>
        <w:t xml:space="preserve">United Kingdom Birmingham</w:t>
      </w:r>
      <w:r>
        <w:t xml:space="preserve">, leveraging the city's growing technology ecosystem, proximity to the University of Birmingham's research facilities, and the region's expanding data-driven industries spanning manufacturing, healthcare, and financial services.</w:t>
      </w:r>
    </w:p>
    <w:p>
      <w:pPr>
        <w:pStyle w:val="BodyText"/>
      </w:pPr>
      <w:r>
        <w:t xml:space="preserve">The</w:t>
      </w:r>
      <w:r>
        <w:t xml:space="preserve"> </w:t>
      </w:r>
      <w:r>
        <w:t xml:space="preserve">Data Scientist</w:t>
      </w:r>
      <w:r>
        <w:t xml:space="preserve"> </w:t>
      </w:r>
      <w:r>
        <w:t xml:space="preserve">proposed for this engagement will operate primarily from our Birmingham office on New Street, with a hybrid arrangement permitting up to two days per week of remote work. All deliverables, client meetings, and on-site data access will be coordinated through the Birmingham base to ensure compliance with United Kingdom data protection regulations, including the UK GDPR and the Data Protection Act 2018.</w:t>
      </w:r>
    </w:p>
    <w:bookmarkEnd w:id="21"/>
    <w:bookmarkStart w:id="26" w:name="scope-of-work"/>
    <w:p>
      <w:pPr>
        <w:pStyle w:val="Heading2"/>
      </w:pPr>
      <w:r>
        <w:t xml:space="preserve">2. Scope of Work</w:t>
      </w:r>
    </w:p>
    <w:p>
      <w:pPr>
        <w:pStyle w:val="FirstParagraph"/>
      </w:pPr>
      <w:r>
        <w:t xml:space="preserve">The</w:t>
      </w:r>
      <w:r>
        <w:t xml:space="preserve"> </w:t>
      </w:r>
      <w:r>
        <w:t xml:space="preserve">Data Scientist</w:t>
      </w:r>
      <w:r>
        <w:t xml:space="preserve"> </w:t>
      </w:r>
      <w:r>
        <w:t xml:space="preserve">engagement encompasses the following deliverables and activities, all conducted in alignment with the client's operational requirements in the Birmingham, United Kingdom region:</w:t>
      </w:r>
    </w:p>
    <w:bookmarkStart w:id="22" w:name="data-strategy-architecture-consulting"/>
    <w:p>
      <w:pPr>
        <w:pStyle w:val="Heading3"/>
      </w:pPr>
      <w:r>
        <w:t xml:space="preserve">2.1 Data Strategy &amp; Architecture Consulting</w:t>
      </w:r>
    </w:p>
    <w:p>
      <w:pPr>
        <w:pStyle w:val="FirstParagraph"/>
      </w:pPr>
      <w:r>
        <w:t xml:space="preserve">Assessment of the client's existing data infrastructure, identification of data quality gaps, and formulation of a scalable data architecture roadmap. The</w:t>
      </w:r>
      <w:r>
        <w:t xml:space="preserve"> </w:t>
      </w:r>
      <w:r>
        <w:t xml:space="preserve">Data Scientist</w:t>
      </w:r>
      <w:r>
        <w:t xml:space="preserve"> </w:t>
      </w:r>
      <w:r>
        <w:t xml:space="preserve">will conduct a minimum of four on-site workshops at the client's Birmingham premises during the first month of the engagement.</w:t>
      </w:r>
    </w:p>
    <w:bookmarkEnd w:id="22"/>
    <w:bookmarkStart w:id="23" w:name="machine-learning-model-development"/>
    <w:p>
      <w:pPr>
        <w:pStyle w:val="Heading3"/>
      </w:pPr>
      <w:r>
        <w:t xml:space="preserve">2.2 Machine Learning Model Development</w:t>
      </w:r>
    </w:p>
    <w:p>
      <w:pPr>
        <w:pStyle w:val="FirstParagraph"/>
      </w:pPr>
      <w:r>
        <w:t xml:space="preserve">Design, training, validation, and deployment of predictive and prescriptive machine learning models. This includes feature engineering, hyperparameter optimisation, model interpretability documentation, and integration with the client's existing production pipelines. All model development will follow the Model Risk Management guidelines applicable within the United Kingdom regulatory framework.</w:t>
      </w:r>
    </w:p>
    <w:bookmarkEnd w:id="23"/>
    <w:bookmarkStart w:id="24" w:name="advanced-analytics-reporting"/>
    <w:p>
      <w:pPr>
        <w:pStyle w:val="Heading3"/>
      </w:pPr>
      <w:r>
        <w:t xml:space="preserve">2.3 Advanced Analytics &amp; Reporting</w:t>
      </w:r>
    </w:p>
    <w:p>
      <w:pPr>
        <w:pStyle w:val="FirstParagraph"/>
      </w:pPr>
      <w:r>
        <w:t xml:space="preserve">Development of interactive dashboards, statistical analysis reports, and automated insight generation. The</w:t>
      </w:r>
      <w:r>
        <w:t xml:space="preserve"> </w:t>
      </w:r>
      <w:r>
        <w:t xml:space="preserve">Data Scientist</w:t>
      </w:r>
      <w:r>
        <w:t xml:space="preserve"> </w:t>
      </w:r>
      <w:r>
        <w:t xml:space="preserve">will produce bi-weekly analytical reports and a comprehensive end-of-engagement white paper summarising findings, recommendations, and projected business impact specific to the client's Birmingham-based operations.</w:t>
      </w:r>
    </w:p>
    <w:bookmarkEnd w:id="24"/>
    <w:bookmarkStart w:id="25" w:name="knowledge-transfer-team-upskilling"/>
    <w:p>
      <w:pPr>
        <w:pStyle w:val="Heading3"/>
      </w:pPr>
      <w:r>
        <w:t xml:space="preserve">2.4 Knowledge Transfer &amp; Team Upskilling</w:t>
      </w:r>
    </w:p>
    <w:p>
      <w:pPr>
        <w:pStyle w:val="FirstParagraph"/>
      </w:pPr>
      <w:r>
        <w:t xml:space="preserve">Delivery of two structured training sessions (each 4 hours) for the client's internal analytics team, covering Python-based data science workflows, statistical methodology, and best practices in model governance. Sessions will be held at the client's Birmingham office or via secure video conference.</w:t>
      </w:r>
    </w:p>
    <w:bookmarkEnd w:id="25"/>
    <w:bookmarkEnd w:id="26"/>
    <w:bookmarkStart w:id="27" w:name="quotation-estimate-fee-schedule"/>
    <w:p>
      <w:pPr>
        <w:pStyle w:val="Heading2"/>
      </w:pPr>
      <w:r>
        <w:t xml:space="preserve">3. Quotation Estimate – Fee Schedule</w:t>
      </w:r>
    </w:p>
    <w:p>
      <w:pPr>
        <w:pStyle w:val="FirstParagraph"/>
      </w:pPr>
      <w:r>
        <w:t xml:space="preserve">The following</w:t>
      </w:r>
      <w:r>
        <w:t xml:space="preserve"> </w:t>
      </w:r>
      <w:r>
        <w:t xml:space="preserve">Quotation Estimate</w:t>
      </w:r>
      <w:r>
        <w:t xml:space="preserve"> </w:t>
      </w:r>
      <w:r>
        <w:t xml:space="preserve">outlines the projected costs for the Data Scientist engagement. All figures are quoted in British Pounds Sterling (GBP) and are exclusive of Value Added Tax (VAT) at the prevailing United Kingdom rate of 20%.</w:t>
      </w:r>
    </w:p>
    <w:tbl>
      <w:tblPr>
        <w:tblStyle w:val="Table"/>
        <w:tblW w:type="auto" w:w="0"/>
        <w:tblLook w:firstRow="1" w:lastRow="1" w:firstColumn="0" w:lastColumn="0" w:noHBand="0" w:noVBand="0" w:val="0020"/>
      </w:tblPr>
      <w:tblGrid>
        <w:gridCol w:w="1980"/>
        <w:gridCol w:w="1980"/>
        <w:gridCol w:w="1980"/>
        <w:gridCol w:w="1980"/>
      </w:tblGrid>
      <w:tr>
        <w:trPr>
          <w:tblHeader w:val="true"/>
        </w:trPr>
        <w:tc>
          <w:tcPr/>
          <w:p>
            <w:pPr>
              <w:pStyle w:val="Compact"/>
              <w:jc w:val="left"/>
            </w:pPr>
            <w:r>
              <w:t xml:space="preserve">Item / Activity</w:t>
            </w:r>
          </w:p>
        </w:tc>
        <w:tc>
          <w:tcPr/>
          <w:p>
            <w:pPr>
              <w:pStyle w:val="Compact"/>
              <w:jc w:val="left"/>
            </w:pPr>
            <w:r>
              <w:t xml:space="preserve">Duration / Quantity</w:t>
            </w:r>
          </w:p>
        </w:tc>
        <w:tc>
          <w:tcPr/>
          <w:p>
            <w:pPr>
              <w:pStyle w:val="Compact"/>
              <w:jc w:val="left"/>
            </w:pPr>
            <w:r>
              <w:t xml:space="preserve">Rate (GBP)</w:t>
            </w:r>
          </w:p>
        </w:tc>
        <w:tc>
          <w:tcPr/>
          <w:p>
            <w:pPr>
              <w:pStyle w:val="Compact"/>
              <w:jc w:val="left"/>
            </w:pPr>
            <w:r>
              <w:t xml:space="preserve">Subtotal (GBP)</w:t>
            </w:r>
          </w:p>
        </w:tc>
      </w:tr>
      <w:tr>
        <w:tc>
          <w:tcPr/>
          <w:p>
            <w:pPr>
              <w:pStyle w:val="Compact"/>
              <w:jc w:val="left"/>
            </w:pPr>
            <w:r>
              <w:t xml:space="preserve">Data Scientist – Senior (On-site, Birmingham)</w:t>
            </w:r>
          </w:p>
        </w:tc>
        <w:tc>
          <w:tcPr/>
          <w:p>
            <w:pPr>
              <w:pStyle w:val="Compact"/>
              <w:jc w:val="left"/>
            </w:pPr>
            <w:r>
              <w:t xml:space="preserve">120 hours (3 months)</w:t>
            </w:r>
          </w:p>
        </w:tc>
        <w:tc>
          <w:tcPr/>
          <w:p>
            <w:pPr>
              <w:pStyle w:val="Compact"/>
              <w:jc w:val="left"/>
            </w:pPr>
            <w:r>
              <w:t xml:space="preserve">£85.00 / hour</w:t>
            </w:r>
          </w:p>
        </w:tc>
        <w:tc>
          <w:tcPr/>
          <w:p>
            <w:pPr>
              <w:pStyle w:val="Compact"/>
              <w:jc w:val="left"/>
            </w:pPr>
            <w:r>
              <w:t xml:space="preserve">£10,200.00</w:t>
            </w:r>
          </w:p>
        </w:tc>
      </w:tr>
      <w:tr>
        <w:tc>
          <w:tcPr/>
          <w:p>
            <w:pPr>
              <w:pStyle w:val="Compact"/>
              <w:jc w:val="left"/>
            </w:pPr>
            <w:r>
              <w:t xml:space="preserve">Data Scientist – Senior (Remote, United Kingdom)</w:t>
            </w:r>
          </w:p>
        </w:tc>
        <w:tc>
          <w:tcPr/>
          <w:p>
            <w:pPr>
              <w:pStyle w:val="Compact"/>
              <w:jc w:val="left"/>
            </w:pPr>
            <w:r>
              <w:t xml:space="preserve">80 hours (3 months)</w:t>
            </w:r>
          </w:p>
        </w:tc>
        <w:tc>
          <w:tcPr/>
          <w:p>
            <w:pPr>
              <w:pStyle w:val="Compact"/>
              <w:jc w:val="left"/>
            </w:pPr>
            <w:r>
              <w:t xml:space="preserve">£72.00 / hour</w:t>
            </w:r>
          </w:p>
        </w:tc>
        <w:tc>
          <w:tcPr/>
          <w:p>
            <w:pPr>
              <w:pStyle w:val="Compact"/>
              <w:jc w:val="left"/>
            </w:pPr>
            <w:r>
              <w:t xml:space="preserve">£5,760.00</w:t>
            </w:r>
          </w:p>
        </w:tc>
      </w:tr>
      <w:tr>
        <w:tc>
          <w:tcPr/>
          <w:p>
            <w:pPr>
              <w:pStyle w:val="Compact"/>
              <w:jc w:val="left"/>
            </w:pPr>
            <w:r>
              <w:t xml:space="preserve">Machine Learning Model Development &amp; Deployment</w:t>
            </w:r>
          </w:p>
        </w:tc>
        <w:tc>
          <w:tcPr/>
          <w:p>
            <w:pPr>
              <w:pStyle w:val="Compact"/>
              <w:jc w:val="left"/>
            </w:pPr>
            <w:r>
              <w:t xml:space="preserve">Fixed scope (2 models)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Data Strategy &amp; Architecture Workshop (on-site, Birmingham)</w:t>
            </w:r>
          </w:p>
        </w:tc>
        <w:tc>
          <w:tcPr/>
          <w:p>
            <w:pPr>
              <w:pStyle w:val="Compact"/>
              <w:jc w:val="left"/>
            </w:pPr>
            <w:r>
              <w:t xml:space="preserve">4 sessions × 3 hours</w:t>
            </w:r>
          </w:p>
        </w:tc>
        <w:tc>
          <w:tcPr/>
          <w:p>
            <w:pPr>
              <w:pStyle w:val="Compact"/>
              <w:jc w:val="left"/>
            </w:pPr>
            <w:r>
              <w:t xml:space="preserve">£320.00 / session</w:t>
            </w:r>
          </w:p>
        </w:tc>
        <w:tc>
          <w:tcPr/>
          <w:p>
            <w:pPr>
              <w:pStyle w:val="Compact"/>
              <w:jc w:val="left"/>
            </w:pPr>
            <w:r>
              <w:t xml:space="preserve">£1,280.00</w:t>
            </w:r>
          </w:p>
        </w:tc>
      </w:tr>
      <w:tr>
        <w:tc>
          <w:tcPr/>
          <w:p>
            <w:pPr>
              <w:pStyle w:val="Compact"/>
              <w:jc w:val="left"/>
            </w:pPr>
            <w:r>
              <w:t xml:space="preserve">Advanced Analytics Dashboard Development</w:t>
            </w:r>
          </w:p>
        </w:tc>
        <w:tc>
          <w:tcPr/>
          <w:p>
            <w:pPr>
              <w:pStyle w:val="Compact"/>
              <w:jc w:val="left"/>
            </w:pPr>
            <w:r>
              <w:t xml:space="preserve">Fixed scope (3 dashboards)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Knowledge Transfer &amp; Team Training</w:t>
            </w:r>
          </w:p>
        </w:tc>
        <w:tc>
          <w:tcPr/>
          <w:p>
            <w:pPr>
              <w:pStyle w:val="Compact"/>
              <w:jc w:val="left"/>
            </w:pPr>
            <w:r>
              <w:t xml:space="preserve">2 sessions × 4 hours</w:t>
            </w:r>
          </w:p>
        </w:tc>
        <w:tc>
          <w:tcPr/>
          <w:p>
            <w:pPr>
              <w:pStyle w:val="Compact"/>
              <w:jc w:val="left"/>
            </w:pPr>
            <w:r>
              <w:t xml:space="preserve">£450.00 / session</w:t>
            </w:r>
          </w:p>
        </w:tc>
        <w:tc>
          <w:tcPr/>
          <w:p>
            <w:pPr>
              <w:pStyle w:val="Compact"/>
              <w:jc w:val="left"/>
            </w:pPr>
            <w:r>
              <w:t xml:space="preserve">£900.00</w:t>
            </w:r>
          </w:p>
        </w:tc>
      </w:tr>
      <w:tr>
        <w:tc>
          <w:tcPr/>
          <w:p>
            <w:pPr>
              <w:pStyle w:val="Compact"/>
              <w:jc w:val="left"/>
            </w:pPr>
            <w:r>
              <w:t xml:space="preserve">Cloud Infrastructure &amp; Compute Costs (AWS / Azure, UK region)</w:t>
            </w:r>
          </w:p>
        </w:tc>
        <w:tc>
          <w:tcPr/>
          <w:p>
            <w:pPr>
              <w:pStyle w:val="Compact"/>
              <w:jc w:val="left"/>
            </w:pPr>
            <w:r>
              <w:t xml:space="preserve">3 months (estimated)</w:t>
            </w:r>
          </w:p>
        </w:tc>
        <w:tc>
          <w:tcPr/>
          <w:p>
            <w:pPr>
              <w:pStyle w:val="Compact"/>
              <w:jc w:val="left"/>
            </w:pPr>
            <w:r>
              <w:t xml:space="preserve">£1,200.00 / month</w:t>
            </w:r>
          </w:p>
        </w:tc>
        <w:tc>
          <w:tcPr/>
          <w:p>
            <w:pPr>
              <w:pStyle w:val="Compact"/>
              <w:jc w:val="left"/>
            </w:pPr>
            <w:r>
              <w:t xml:space="preserve">£3,600.00</w:t>
            </w:r>
          </w:p>
        </w:tc>
      </w:tr>
      <w:tr>
        <w:tc>
          <w:tcPr/>
          <w:p>
            <w:pPr>
              <w:pStyle w:val="Compact"/>
              <w:jc w:val="left"/>
            </w:pPr>
            <w:r>
              <w:t xml:space="preserve">Travel &amp; Local Transport (within Birmingham, United Kingdom)</w:t>
            </w:r>
          </w:p>
        </w:tc>
        <w:tc>
          <w:tcPr/>
          <w:p>
            <w:pPr>
              <w:pStyle w:val="Compact"/>
              <w:jc w:val="left"/>
            </w:pPr>
            <w:r>
              <w:t xml:space="preserve">Estimated</w:t>
            </w:r>
          </w:p>
        </w:tc>
        <w:tc>
          <w:tcPr/>
          <w:p>
            <w:pPr>
              <w:pStyle w:val="Compact"/>
              <w:jc w:val="left"/>
            </w:pPr>
            <w:r>
              <w:t xml:space="preserve">£150.00 / month</w:t>
            </w:r>
          </w:p>
        </w:tc>
        <w:tc>
          <w:tcPr/>
          <w:p>
            <w:pPr>
              <w:pStyle w:val="Compact"/>
              <w:jc w:val="left"/>
            </w:pPr>
            <w:r>
              <w:t xml:space="preserve">£450.00</w:t>
            </w:r>
          </w:p>
        </w:tc>
      </w:tr>
      <w:tr>
        <w:tc>
          <w:tcPr>
            <w:gridSpan w:val="3"/>
          </w:tcPr>
          <w:p>
            <w:pPr>
              <w:pStyle w:val="Compact"/>
              <w:jc w:val="left"/>
            </w:pPr>
            <w:r>
              <w:t xml:space="preserve">Subtotal (excl. VAT)</w:t>
            </w:r>
          </w:p>
        </w:tc>
        <w:tc>
          <w:tcPr/>
          <w:p>
            <w:pPr>
              <w:pStyle w:val="Compact"/>
              <w:jc w:val="left"/>
            </w:pPr>
            <w:r>
              <w:t xml:space="preserve">£39,490.00</w:t>
            </w:r>
          </w:p>
        </w:tc>
      </w:tr>
      <w:tr>
        <w:tc>
          <w:tcPr>
            <w:gridSpan w:val="3"/>
          </w:tcPr>
          <w:p>
            <w:pPr>
              <w:pStyle w:val="Compact"/>
              <w:jc w:val="left"/>
            </w:pPr>
            <w:r>
              <w:t xml:space="preserve">VAT @ 20% (United Kingdom)</w:t>
            </w:r>
          </w:p>
        </w:tc>
        <w:tc>
          <w:tcPr/>
          <w:p>
            <w:pPr>
              <w:pStyle w:val="Compact"/>
              <w:jc w:val="left"/>
            </w:pPr>
            <w:r>
              <w:t xml:space="preserve">£7,898.00</w:t>
            </w:r>
          </w:p>
        </w:tc>
      </w:tr>
      <w:tr>
        <w:tc>
          <w:tcPr>
            <w:gridSpan w:val="3"/>
          </w:tcPr>
          <w:p>
            <w:pPr>
              <w:pStyle w:val="Compact"/>
              <w:jc w:val="left"/>
            </w:pPr>
            <w:r>
              <w:rPr>
                <w:bCs/>
                <w:b/>
              </w:rPr>
              <w:t xml:space="preserve">Total Quotation Estimate (incl. VAT)</w:t>
            </w:r>
          </w:p>
        </w:tc>
        <w:tc>
          <w:tcPr/>
          <w:p>
            <w:pPr>
              <w:pStyle w:val="Compact"/>
              <w:jc w:val="left"/>
            </w:pPr>
            <w:r>
              <w:rPr>
                <w:bCs/>
                <w:b/>
              </w:rPr>
              <w:t xml:space="preserve">£47,388.00</w:t>
            </w:r>
          </w:p>
        </w:tc>
      </w:tr>
    </w:tbl>
    <w:bookmarkEnd w:id="27"/>
    <w:bookmarkStart w:id="28"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deposit upon contract execution, 40% upon completion of the mid-engagement milestone (end of month two), and the remaining 30% upon final delivery and client sign-off. All payments are to be made via bank transfer to the account details provided in the accompanying invoice. Late payments will incur interest at 2% per month in accordance with the Late Payment of Commercial Debts (Interest) Act 1998, applicable throughout the United Kingdom.</w:t>
      </w:r>
    </w:p>
    <w:bookmarkEnd w:id="28"/>
    <w:bookmarkStart w:id="29"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Beyond this period, rates and availability of the proposed</w:t>
      </w:r>
      <w:r>
        <w:t xml:space="preserve"> </w:t>
      </w:r>
      <w:r>
        <w:t xml:space="preserve">Data Scientist</w:t>
      </w:r>
      <w:r>
        <w:t xml:space="preserve"> </w:t>
      </w:r>
      <w:r>
        <w:t xml:space="preserve">are subject to reconfirmation.</w:t>
      </w:r>
    </w:p>
    <w:p>
      <w:pPr>
        <w:numPr>
          <w:ilvl w:val="0"/>
          <w:numId w:val="1001"/>
        </w:numPr>
        <w:pStyle w:val="Compact"/>
      </w:pPr>
      <w:r>
        <w:t xml:space="preserve">All work will be performed in accordance with the United Kingdom's Data Protection Act 2018 and UK GDPR. The</w:t>
      </w:r>
      <w:r>
        <w:t xml:space="preserve"> </w:t>
      </w:r>
      <w:r>
        <w:t xml:space="preserve">Data Scientist</w:t>
      </w:r>
      <w:r>
        <w:t xml:space="preserve"> </w:t>
      </w:r>
      <w:r>
        <w:t xml:space="preserve">will sign a Non-Disclosure Agreement (NDA) prior to accessing any client data.</w:t>
      </w:r>
    </w:p>
    <w:p>
      <w:pPr>
        <w:numPr>
          <w:ilvl w:val="0"/>
          <w:numId w:val="1001"/>
        </w:numPr>
        <w:pStyle w:val="Compact"/>
      </w:pPr>
      <w:r>
        <w:t xml:space="preserve">The engagement is based in</w:t>
      </w:r>
      <w:r>
        <w:t xml:space="preserve"> </w:t>
      </w:r>
      <w:r>
        <w:t xml:space="preserve">United Kingdom Birmingham</w:t>
      </w:r>
      <w:r>
        <w:t xml:space="preserve">. Any requirement for travel outside the Birmingham metropolitan area (beyond a 25-mile radius) will be quoted separately at £0.65 per mile plus time at the applicable hourly rate.</w:t>
      </w:r>
    </w:p>
    <w:p>
      <w:pPr>
        <w:numPr>
          <w:ilvl w:val="0"/>
          <w:numId w:val="1001"/>
        </w:numPr>
        <w:pStyle w:val="Compact"/>
      </w:pPr>
      <w:r>
        <w:t xml:space="preserve">Intellectual property generated during the engagement, including models, code, and analytical reports, shall vest in the client upon full payment, subject to the consultancy's right to retain anonymised methodological knowledge for internal training purposes.</w:t>
      </w:r>
    </w:p>
    <w:p>
      <w:pPr>
        <w:numPr>
          <w:ilvl w:val="0"/>
          <w:numId w:val="1001"/>
        </w:numPr>
        <w:pStyle w:val="Compact"/>
      </w:pPr>
      <w:r>
        <w:t xml:space="preserve">Either party may terminate the engagement with 14 days' written notice. In such cases, the client shall be invoiced for all work completed up to the termination date, as detailed in this</w:t>
      </w:r>
      <w:r>
        <w:t xml:space="preserve"> </w:t>
      </w:r>
      <w:r>
        <w:t xml:space="preserve">Quotation Estimate</w:t>
      </w:r>
      <w:r>
        <w:t xml:space="preserve">.</w:t>
      </w:r>
    </w:p>
    <w:p>
      <w:pPr>
        <w:numPr>
          <w:ilvl w:val="0"/>
          <w:numId w:val="1001"/>
        </w:numPr>
        <w:pStyle w:val="Compact"/>
      </w:pPr>
      <w:r>
        <w:t xml:space="preserve">This document constitutes a</w:t>
      </w:r>
      <w:r>
        <w:t xml:space="preserve"> </w:t>
      </w:r>
      <w:r>
        <w:t xml:space="preserve">Quotation Estimate</w:t>
      </w:r>
      <w:r>
        <w:t xml:space="preserve"> </w:t>
      </w:r>
      <w:r>
        <w:t xml:space="preserve">and does not form a binding contract until both parties have executed the formal Statement of Work (SOW) and Master Services Agreement (MSA).</w:t>
      </w:r>
    </w:p>
    <w:bookmarkEnd w:id="29"/>
    <w:bookmarkStart w:id="30" w:name="acceptance-authorisation"/>
    <w:p>
      <w:pPr>
        <w:pStyle w:val="Heading2"/>
      </w:pPr>
      <w:r>
        <w:t xml:space="preserve">6. Acceptance &amp; Authorisation</w:t>
      </w:r>
    </w:p>
    <w:p>
      <w:pPr>
        <w:pStyle w:val="FirstParagraph"/>
      </w:pPr>
      <w:r>
        <w:t xml:space="preserve">By signing below, the client acknowledges receipt of this</w:t>
      </w:r>
      <w:r>
        <w:t xml:space="preserve"> </w:t>
      </w:r>
      <w:r>
        <w:t xml:space="preserve">Quotation Estimate</w:t>
      </w:r>
      <w:r>
        <w:t xml:space="preserve"> </w:t>
      </w:r>
      <w:r>
        <w:t xml:space="preserve">for Data Scientist services in United Kingdom Birmingham and agrees to the terms, rates, and conditions set forth herein. The engagement will commence on the date specified in the executed SOW.</w:t>
      </w:r>
    </w:p>
    <w:p>
      <w:pPr>
        <w:pStyle w:val="BodyText"/>
      </w:pPr>
      <w:r>
        <w:rPr>
          <w:bCs/>
          <w:b/>
        </w:rPr>
        <w:t xml:space="preserve">For and on behalf of Apex Analytics Consultancy Ltd</w:t>
      </w:r>
    </w:p>
    <w:p>
      <w:pPr>
        <w:pStyle w:val="BodyText"/>
      </w:pPr>
      <w:r>
        <w:t xml:space="preserve">Name: Dr. Eleanor Whitfield</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Apex Analytics Consultancy Ltd | Registered in England &amp; Wales No. 12345678 | VAT No. GB 123 4567 89</w:t>
      </w:r>
    </w:p>
    <w:p>
      <w:pPr>
        <w:pStyle w:val="BodyText"/>
      </w:pPr>
      <w:r>
        <w:t xml:space="preserve">142 New Street, Birmingham, B2 4HA, United Kingdom | Tel: +44 (0)121 456 7890 | Email: enquiries@apexanalytics.co.uk</w:t>
      </w:r>
    </w:p>
    <w:p>
      <w:pPr>
        <w:pStyle w:val="BodyText"/>
      </w:pPr>
      <w:r>
        <w:t xml:space="preserve">This Quotation Estimate is confidential and intended solely for the named recipient. © 2025 Apex Analytics Consultancy Ltd.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United Kingdom Birmingham</dc:title>
  <dc:creator/>
  <dc:language>en-GB</dc:language>
  <cp:keywords/>
  <dcterms:created xsi:type="dcterms:W3CDTF">2026-10-10T02:33:28Z</dcterms:created>
  <dcterms:modified xsi:type="dcterms:W3CDTF">2026-10-10T02:33:28Z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