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quotation-estimate"/>
    <w:p>
      <w:pPr>
        <w:pStyle w:val="Heading1"/>
      </w:pPr>
      <w:r>
        <w:t xml:space="preserve">Quotation Estimate</w:t>
      </w:r>
    </w:p>
    <w:p>
      <w:pPr>
        <w:pStyle w:val="FirstParagraph"/>
      </w:pPr>
      <w:r>
        <w:t xml:space="preserve">Professional Data Scientist Services</w:t>
      </w:r>
    </w:p>
    <w:p>
      <w:pPr>
        <w:pStyle w:val="BodyText"/>
      </w:pPr>
      <w:r>
        <w:t xml:space="preserve">Prepared for Clients in United States Miami</w:t>
      </w:r>
    </w:p>
    <w:p>
      <w:pPr>
        <w:pStyle w:val="BodyText"/>
      </w:pPr>
      <w:r>
        <w:t xml:space="preserve">Document Ref: QE-DS-2025-0847</w:t>
      </w:r>
    </w:p>
    <w:bookmarkEnd w:id="20"/>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QE-DS-2025-0847</w:t>
      </w:r>
    </w:p>
    <w:p>
      <w:pPr>
        <w:pStyle w:val="BodyText"/>
      </w:pPr>
      <w:r>
        <w:rPr>
          <w:bCs/>
          <w:b/>
        </w:rPr>
        <w:t xml:space="preserve">Date of Issue:</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Currency:</w:t>
      </w:r>
      <w:r>
        <w:t xml:space="preserve"> </w:t>
      </w:r>
      <w:r>
        <w:t xml:space="preserve">USD (United States Dollar)</w:t>
      </w:r>
    </w:p>
    <w:p>
      <w:pPr>
        <w:pStyle w:val="BodyText"/>
      </w:pPr>
      <w:r>
        <w:rPr>
          <w:bCs/>
          <w:b/>
        </w:rPr>
        <w:t xml:space="preserve">Service Location:</w:t>
      </w:r>
      <w:r>
        <w:t xml:space="preserve"> </w:t>
      </w:r>
      <w:r>
        <w:t xml:space="preserve">United States Miami, FL 33101</w:t>
      </w:r>
    </w:p>
    <w:bookmarkEnd w:id="21"/>
    <w:bookmarkStart w:id="22" w:name="prepared-by"/>
    <w:p>
      <w:pPr>
        <w:pStyle w:val="Heading3"/>
      </w:pPr>
      <w:r>
        <w:t xml:space="preserve">Prepared By</w:t>
      </w:r>
    </w:p>
    <w:p>
      <w:pPr>
        <w:pStyle w:val="FirstParagraph"/>
      </w:pPr>
      <w:r>
        <w:rPr>
          <w:bCs/>
          <w:b/>
        </w:rPr>
        <w:t xml:space="preserve">Company:</w:t>
      </w:r>
      <w:r>
        <w:t xml:space="preserve"> </w:t>
      </w:r>
      <w:r>
        <w:t xml:space="preserve">Atlantic Analytics Solutions LLC</w:t>
      </w:r>
    </w:p>
    <w:p>
      <w:pPr>
        <w:pStyle w:val="BodyText"/>
      </w:pPr>
      <w:r>
        <w:rPr>
          <w:bCs/>
          <w:b/>
        </w:rPr>
        <w:t xml:space="preserve">Address:</w:t>
      </w:r>
      <w:r>
        <w:t xml:space="preserve"> </w:t>
      </w:r>
      <w:r>
        <w:t xml:space="preserve">1200 Biscayne Blvd, Suite 450, United States Miami, FL 33132</w:t>
      </w:r>
    </w:p>
    <w:p>
      <w:pPr>
        <w:pStyle w:val="BodyText"/>
      </w:pPr>
      <w:r>
        <w:rPr>
          <w:bCs/>
          <w:b/>
        </w:rPr>
        <w:t xml:space="preserve">Contact:</w:t>
      </w:r>
      <w:r>
        <w:t xml:space="preserve"> </w:t>
      </w:r>
      <w:r>
        <w:t xml:space="preserve">contracts@atlanticanalytics.com</w:t>
      </w:r>
    </w:p>
    <w:p>
      <w:pPr>
        <w:pStyle w:val="BodyText"/>
      </w:pPr>
      <w:r>
        <w:rPr>
          <w:bCs/>
          <w:b/>
        </w:rPr>
        <w:t xml:space="preserve">Phone:</w:t>
      </w:r>
      <w:r>
        <w:t xml:space="preserve"> </w:t>
      </w:r>
      <w:r>
        <w:t xml:space="preserve">+1 (305) 555-0198</w:t>
      </w:r>
    </w:p>
    <w:p>
      <w:pPr>
        <w:pStyle w:val="BodyText"/>
      </w:pPr>
      <w:r>
        <w:rPr>
          <w:bCs/>
          <w:b/>
        </w:rPr>
        <w:t xml:space="preserve">Tax ID (EIN):</w:t>
      </w:r>
      <w:r>
        <w:t xml:space="preserve"> </w:t>
      </w:r>
      <w:r>
        <w:t xml:space="preserve">82-4471903</w:t>
      </w:r>
    </w:p>
    <w:bookmarkEnd w:id="22"/>
    <w:bookmarkStart w:id="23" w:name="prepared-for-client"/>
    <w:p>
      <w:pPr>
        <w:pStyle w:val="Heading3"/>
      </w:pPr>
      <w:r>
        <w:t xml:space="preserve">Prepared For (Client)</w:t>
      </w:r>
    </w:p>
    <w:p>
      <w:pPr>
        <w:pStyle w:val="FirstParagraph"/>
      </w:pPr>
      <w:r>
        <w:rPr>
          <w:bCs/>
          <w:b/>
        </w:rPr>
        <w:t xml:space="preserve">Company:</w:t>
      </w:r>
      <w:r>
        <w:t xml:space="preserve"> </w:t>
      </w:r>
      <w:r>
        <w:t xml:space="preserve">[Client Company Name]</w:t>
      </w:r>
    </w:p>
    <w:p>
      <w:pPr>
        <w:pStyle w:val="BodyText"/>
      </w:pPr>
      <w:r>
        <w:rPr>
          <w:bCs/>
          <w:b/>
        </w:rPr>
        <w:t xml:space="preserve">Address:</w:t>
      </w:r>
      <w:r>
        <w:t xml:space="preserve"> </w:t>
      </w:r>
      <w:r>
        <w:t xml:space="preserve">[Client Address], United States Miami, FL</w:t>
      </w:r>
    </w:p>
    <w:p>
      <w:pPr>
        <w:pStyle w:val="BodyText"/>
      </w:pPr>
      <w:r>
        <w:rPr>
          <w:bCs/>
          <w:b/>
        </w:rPr>
        <w:t xml:space="preserve">Point of Contact:</w:t>
      </w:r>
      <w:r>
        <w:t xml:space="preserve"> </w:t>
      </w:r>
      <w:r>
        <w:t xml:space="preserve">[Name &amp; Title]</w:t>
      </w:r>
    </w:p>
    <w:p>
      <w:pPr>
        <w:pStyle w:val="BodyText"/>
      </w:pPr>
      <w:r>
        <w:rPr>
          <w:bCs/>
          <w:b/>
        </w:rPr>
        <w:t xml:space="preserve">Email:</w:t>
      </w:r>
      <w:r>
        <w:t xml:space="preserve"> </w:t>
      </w:r>
      <w:r>
        <w:t xml:space="preserve">[client.email@company.com]</w:t>
      </w:r>
    </w:p>
    <w:bookmarkEnd w:id="23"/>
    <w:bookmarkStart w:id="24" w:name="project-reference"/>
    <w:p>
      <w:pPr>
        <w:pStyle w:val="Heading3"/>
      </w:pPr>
      <w:r>
        <w:t xml:space="preserve">Project Reference</w:t>
      </w:r>
    </w:p>
    <w:p>
      <w:pPr>
        <w:pStyle w:val="FirstParagraph"/>
      </w:pPr>
      <w:r>
        <w:rPr>
          <w:bCs/>
          <w:b/>
        </w:rPr>
        <w:t xml:space="preserve">Project Title:</w:t>
      </w:r>
      <w:r>
        <w:t xml:space="preserve"> </w:t>
      </w:r>
      <w:r>
        <w:t xml:space="preserve">Enterprise Data Science Engagement</w:t>
      </w:r>
    </w:p>
    <w:p>
      <w:pPr>
        <w:pStyle w:val="BodyText"/>
      </w:pPr>
      <w:r>
        <w:rPr>
          <w:bCs/>
          <w:b/>
        </w:rPr>
        <w:t xml:space="preserve">Engagement Type:</w:t>
      </w:r>
      <w:r>
        <w:t xml:space="preserve"> </w:t>
      </w:r>
      <w:r>
        <w:t xml:space="preserve">Full-Time Data Scientist (Contract)</w:t>
      </w:r>
    </w:p>
    <w:p>
      <w:pPr>
        <w:pStyle w:val="BodyText"/>
      </w:pPr>
      <w:r>
        <w:rPr>
          <w:bCs/>
          <w:b/>
        </w:rPr>
        <w:t xml:space="preserve">Duration:</w:t>
      </w:r>
      <w:r>
        <w:t xml:space="preserve"> </w:t>
      </w:r>
      <w:r>
        <w:t xml:space="preserve">12 Months (Renewable)</w:t>
      </w:r>
    </w:p>
    <w:p>
      <w:pPr>
        <w:pStyle w:val="BodyText"/>
      </w:pPr>
      <w:r>
        <w:rPr>
          <w:bCs/>
          <w:b/>
        </w:rPr>
        <w:t xml:space="preserve">Work Mode:</w:t>
      </w:r>
      <w:r>
        <w:t xml:space="preserve"> </w:t>
      </w:r>
      <w:r>
        <w:t xml:space="preserve">On-site in United States Miami / Hybrid</w:t>
      </w:r>
    </w:p>
    <w:bookmarkEnd w:id="24"/>
    <w:bookmarkStart w:id="25"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formally issued by Atlantic Analytics Solutions LLC to provide a comprehensive pricing and scope document for the engagement of a senior</w:t>
      </w:r>
      <w:r>
        <w:t xml:space="preserve"> </w:t>
      </w:r>
      <w:r>
        <w:t xml:space="preserve">Data Scientist</w:t>
      </w:r>
      <w:r>
        <w:t xml:space="preserve"> </w:t>
      </w:r>
      <w:r>
        <w:t xml:space="preserve">to support the client's analytical and machine learning initiatives. The proposed</w:t>
      </w:r>
      <w:r>
        <w:t xml:space="preserve"> </w:t>
      </w:r>
      <w:r>
        <w:t xml:space="preserve">Data Scientist</w:t>
      </w:r>
      <w:r>
        <w:t xml:space="preserve"> </w:t>
      </w:r>
      <w:r>
        <w:t xml:space="preserve">will be physically based in</w:t>
      </w:r>
      <w:r>
        <w:t xml:space="preserve"> </w:t>
      </w:r>
      <w:r>
        <w:t xml:space="preserve">United States Miami</w:t>
      </w:r>
      <w:r>
        <w:t xml:space="preserve">, ensuring direct collaboration with the client's local team, alignment with the regional business environment, and full compliance with all applicable Florida state and federal employment regulations. This</w:t>
      </w:r>
      <w:r>
        <w:t xml:space="preserve"> </w:t>
      </w:r>
      <w:r>
        <w:t xml:space="preserve">Quotation Estimate</w:t>
      </w:r>
      <w:r>
        <w:t xml:space="preserve"> </w:t>
      </w:r>
      <w:r>
        <w:t xml:space="preserve">outlines all deliverables, hourly and monthly rates, project milestones, and the terms governing the professional relationship between both parties.</w:t>
      </w:r>
    </w:p>
    <w:bookmarkEnd w:id="25"/>
    <w:bookmarkStart w:id="26" w:name="scope-of-services-data-scientist-role"/>
    <w:p>
      <w:pPr>
        <w:pStyle w:val="Heading2"/>
      </w:pPr>
      <w:r>
        <w:t xml:space="preserve">2. Scope of Services – Data Scientist Role</w:t>
      </w:r>
    </w:p>
    <w:p>
      <w:pPr>
        <w:pStyle w:val="FirstParagraph"/>
      </w:pPr>
      <w:r>
        <w:t xml:space="preserve">The</w:t>
      </w:r>
      <w:r>
        <w:t xml:space="preserve"> </w:t>
      </w:r>
      <w:r>
        <w:t xml:space="preserve">Data Scientist</w:t>
      </w:r>
      <w:r>
        <w:t xml:space="preserve"> </w:t>
      </w:r>
      <w:r>
        <w:t xml:space="preserve">engaged under this</w:t>
      </w:r>
      <w:r>
        <w:t xml:space="preserve"> </w:t>
      </w:r>
      <w:r>
        <w:t xml:space="preserve">Quotation Estimate</w:t>
      </w:r>
      <w:r>
        <w:t xml:space="preserve"> </w:t>
      </w:r>
      <w:r>
        <w:t xml:space="preserve">will perform the following core responsibilities while operating out of the</w:t>
      </w:r>
      <w:r>
        <w:t xml:space="preserve"> </w:t>
      </w:r>
      <w:r>
        <w:t xml:space="preserve">United States Miami</w:t>
      </w:r>
      <w:r>
        <w:t xml:space="preserve"> </w:t>
      </w:r>
      <w:r>
        <w:t xml:space="preserve">office or the client's designated workspace in the Miami metropolitan area:</w:t>
      </w:r>
    </w:p>
    <w:p>
      <w:pPr>
        <w:numPr>
          <w:ilvl w:val="0"/>
          <w:numId w:val="1001"/>
        </w:numPr>
        <w:pStyle w:val="Compact"/>
      </w:pPr>
      <w:r>
        <w:t xml:space="preserve">Design, develop, and deploy predictive analytics models and machine learning pipelines tailored to the client's industry vertical.</w:t>
      </w:r>
    </w:p>
    <w:p>
      <w:pPr>
        <w:numPr>
          <w:ilvl w:val="0"/>
          <w:numId w:val="1001"/>
        </w:numPr>
        <w:pStyle w:val="Compact"/>
      </w:pPr>
      <w:r>
        <w:t xml:space="preserve">Conduct exploratory data analysis (EDA) on structured and unstructured datasets, generating actionable business insights.</w:t>
      </w:r>
    </w:p>
    <w:p>
      <w:pPr>
        <w:numPr>
          <w:ilvl w:val="0"/>
          <w:numId w:val="1001"/>
        </w:numPr>
        <w:pStyle w:val="Compact"/>
      </w:pPr>
      <w:r>
        <w:t xml:space="preserve">Build and maintain natural language processing (NLP) solutions for client-facing applications.</w:t>
      </w:r>
    </w:p>
    <w:p>
      <w:pPr>
        <w:numPr>
          <w:ilvl w:val="0"/>
          <w:numId w:val="1001"/>
        </w:numPr>
        <w:pStyle w:val="Compact"/>
      </w:pPr>
      <w:r>
        <w:t xml:space="preserve">Develop and optimize A/B testing frameworks to support product and marketing strategy decisions.</w:t>
      </w:r>
    </w:p>
    <w:p>
      <w:pPr>
        <w:numPr>
          <w:ilvl w:val="0"/>
          <w:numId w:val="1001"/>
        </w:numPr>
        <w:pStyle w:val="Compact"/>
      </w:pPr>
      <w:r>
        <w:t xml:space="preserve">Collaborate with engineering, product, and business teams located in</w:t>
      </w:r>
      <w:r>
        <w:t xml:space="preserve"> </w:t>
      </w:r>
      <w:r>
        <w:t xml:space="preserve">United States Miami</w:t>
      </w:r>
      <w:r>
        <w:t xml:space="preserve"> </w:t>
      </w:r>
      <w:r>
        <w:t xml:space="preserve">to translate data findings into strategic recommendations.</w:t>
      </w:r>
    </w:p>
    <w:p>
      <w:pPr>
        <w:numPr>
          <w:ilvl w:val="0"/>
          <w:numId w:val="1001"/>
        </w:numPr>
        <w:pStyle w:val="Compact"/>
      </w:pPr>
      <w:r>
        <w:t xml:space="preserve">Ensure all data handling practices comply with the Florida Information Protection Act (FIPA) and applicable U.S. federal data privacy regulations.</w:t>
      </w:r>
    </w:p>
    <w:p>
      <w:pPr>
        <w:numPr>
          <w:ilvl w:val="0"/>
          <w:numId w:val="1001"/>
        </w:numPr>
        <w:pStyle w:val="Compact"/>
      </w:pPr>
      <w:r>
        <w:t xml:space="preserve">Present quarterly findings and model performance reports to senior leadership in the</w:t>
      </w:r>
      <w:r>
        <w:t xml:space="preserve"> </w:t>
      </w:r>
      <w:r>
        <w:t xml:space="preserve">United States Miami</w:t>
      </w:r>
      <w:r>
        <w:t xml:space="preserve"> </w:t>
      </w:r>
      <w:r>
        <w:t xml:space="preserve">headquarters.</w:t>
      </w:r>
    </w:p>
    <w:bookmarkEnd w:id="26"/>
    <w:bookmarkStart w:id="27" w:name="detailed-pricing-breakdown"/>
    <w:p>
      <w:pPr>
        <w:pStyle w:val="Heading2"/>
      </w:pPr>
      <w:r>
        <w:t xml:space="preserve">3. Detailed Pricing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Rate / Amount (USD)</w:t>
            </w:r>
          </w:p>
        </w:tc>
        <w:tc>
          <w:tcPr/>
          <w:p>
            <w:pPr>
              <w:pStyle w:val="Compact"/>
              <w:jc w:val="left"/>
            </w:pPr>
            <w:r>
              <w:t xml:space="preserve">Frequency</w:t>
            </w:r>
          </w:p>
        </w:tc>
      </w:tr>
      <w:tr>
        <w:tc>
          <w:tcPr/>
          <w:p>
            <w:pPr>
              <w:pStyle w:val="Compact"/>
              <w:jc w:val="left"/>
            </w:pPr>
            <w:r>
              <w:t xml:space="preserve">1.1</w:t>
            </w:r>
          </w:p>
        </w:tc>
        <w:tc>
          <w:tcPr/>
          <w:p>
            <w:pPr>
              <w:pStyle w:val="Compact"/>
              <w:jc w:val="left"/>
            </w:pPr>
            <w:r>
              <w:t xml:space="preserve">Senior Data Scientist – Monthly Retainer (160 hrs/month)</w:t>
            </w:r>
          </w:p>
        </w:tc>
        <w:tc>
          <w:tcPr/>
          <w:p>
            <w:pPr>
              <w:pStyle w:val="Compact"/>
              <w:jc w:val="left"/>
            </w:pPr>
            <w:r>
              <w:t xml:space="preserve">$14,800.00</w:t>
            </w:r>
          </w:p>
        </w:tc>
        <w:tc>
          <w:tcPr/>
          <w:p>
            <w:pPr>
              <w:pStyle w:val="Compact"/>
              <w:jc w:val="left"/>
            </w:pPr>
            <w:r>
              <w:t xml:space="preserve">Monthly</w:t>
            </w:r>
          </w:p>
        </w:tc>
      </w:tr>
      <w:tr>
        <w:tc>
          <w:tcPr/>
          <w:p>
            <w:pPr>
              <w:pStyle w:val="Compact"/>
              <w:jc w:val="left"/>
            </w:pPr>
            <w:r>
              <w:t xml:space="preserve">1.2</w:t>
            </w:r>
          </w:p>
        </w:tc>
        <w:tc>
          <w:tcPr/>
          <w:p>
            <w:pPr>
              <w:pStyle w:val="Compact"/>
              <w:jc w:val="left"/>
            </w:pPr>
            <w:r>
              <w:t xml:space="preserve">On-site Travel within United States Miami Metro Area</w:t>
            </w:r>
          </w:p>
        </w:tc>
        <w:tc>
          <w:tcPr/>
          <w:p>
            <w:pPr>
              <w:pStyle w:val="Compact"/>
              <w:jc w:val="left"/>
            </w:pPr>
            <w:r>
              <w:t xml:space="preserve">$0.00 (Included)</w:t>
            </w:r>
          </w:p>
        </w:tc>
        <w:tc>
          <w:tcPr/>
          <w:p>
            <w:pPr>
              <w:pStyle w:val="Compact"/>
              <w:jc w:val="left"/>
            </w:pPr>
            <w:r>
              <w:t xml:space="preserve">Per occurrence</w:t>
            </w:r>
          </w:p>
        </w:tc>
      </w:tr>
      <w:tr>
        <w:tc>
          <w:tcPr/>
          <w:p>
            <w:pPr>
              <w:pStyle w:val="Compact"/>
              <w:jc w:val="left"/>
            </w:pPr>
            <w:r>
              <w:t xml:space="preserve">1.3</w:t>
            </w:r>
          </w:p>
        </w:tc>
        <w:tc>
          <w:tcPr/>
          <w:p>
            <w:pPr>
              <w:pStyle w:val="Compact"/>
              <w:jc w:val="left"/>
            </w:pPr>
            <w:r>
              <w:t xml:space="preserve">Cloud Computing &amp; GPU Compute Credits (AWS/GCP)</w:t>
            </w:r>
          </w:p>
        </w:tc>
        <w:tc>
          <w:tcPr/>
          <w:p>
            <w:pPr>
              <w:pStyle w:val="Compact"/>
              <w:jc w:val="left"/>
            </w:pPr>
            <w:r>
              <w:t xml:space="preserve">$1,200.00</w:t>
            </w:r>
          </w:p>
        </w:tc>
        <w:tc>
          <w:tcPr/>
          <w:p>
            <w:pPr>
              <w:pStyle w:val="Compact"/>
              <w:jc w:val="left"/>
            </w:pPr>
            <w:r>
              <w:t xml:space="preserve">Monthly</w:t>
            </w:r>
          </w:p>
        </w:tc>
      </w:tr>
      <w:tr>
        <w:tc>
          <w:tcPr/>
          <w:p>
            <w:pPr>
              <w:pStyle w:val="Compact"/>
              <w:jc w:val="left"/>
            </w:pPr>
            <w:r>
              <w:t xml:space="preserve">1.4</w:t>
            </w:r>
          </w:p>
        </w:tc>
        <w:tc>
          <w:tcPr/>
          <w:p>
            <w:pPr>
              <w:pStyle w:val="Compact"/>
              <w:jc w:val="left"/>
            </w:pPr>
            <w:r>
              <w:t xml:space="preserve">Specialized Software Licenses (Python, R, Tableau, Databricks)</w:t>
            </w:r>
          </w:p>
        </w:tc>
        <w:tc>
          <w:tcPr/>
          <w:p>
            <w:pPr>
              <w:pStyle w:val="Compact"/>
              <w:jc w:val="left"/>
            </w:pPr>
            <w:r>
              <w:t xml:space="preserve">$450.00</w:t>
            </w:r>
          </w:p>
        </w:tc>
        <w:tc>
          <w:tcPr/>
          <w:p>
            <w:pPr>
              <w:pStyle w:val="Compact"/>
              <w:jc w:val="left"/>
            </w:pPr>
            <w:r>
              <w:t xml:space="preserve">Monthly</w:t>
            </w:r>
          </w:p>
        </w:tc>
      </w:tr>
      <w:tr>
        <w:tc>
          <w:tcPr/>
          <w:p>
            <w:pPr>
              <w:pStyle w:val="Compact"/>
              <w:jc w:val="left"/>
            </w:pPr>
            <w:r>
              <w:t xml:space="preserve">1.5</w:t>
            </w:r>
          </w:p>
        </w:tc>
        <w:tc>
          <w:tcPr/>
          <w:p>
            <w:pPr>
              <w:pStyle w:val="Compact"/>
              <w:jc w:val="left"/>
            </w:pPr>
            <w:r>
              <w:t xml:space="preserve">Project Kickoff &amp; Requirements Workshop (One-time)</w:t>
            </w:r>
          </w:p>
        </w:tc>
        <w:tc>
          <w:tcPr/>
          <w:p>
            <w:pPr>
              <w:pStyle w:val="Compact"/>
              <w:jc w:val="left"/>
            </w:pPr>
            <w:r>
              <w:t xml:space="preserve">$3,500.00</w:t>
            </w:r>
          </w:p>
        </w:tc>
        <w:tc>
          <w:tcPr/>
          <w:p>
            <w:pPr>
              <w:pStyle w:val="Compact"/>
              <w:jc w:val="left"/>
            </w:pPr>
            <w:r>
              <w:t xml:space="preserve">One-time</w:t>
            </w:r>
          </w:p>
        </w:tc>
      </w:tr>
      <w:tr>
        <w:tc>
          <w:tcPr/>
          <w:p>
            <w:pPr>
              <w:pStyle w:val="Compact"/>
              <w:jc w:val="left"/>
            </w:pPr>
            <w:r>
              <w:t xml:space="preserve">1.6</w:t>
            </w:r>
          </w:p>
        </w:tc>
        <w:tc>
          <w:tcPr/>
          <w:p>
            <w:pPr>
              <w:pStyle w:val="Compact"/>
              <w:jc w:val="left"/>
            </w:pPr>
            <w:r>
              <w:t xml:space="preserve">Quarterly Model Audit &amp; Performance Review</w:t>
            </w:r>
          </w:p>
        </w:tc>
        <w:tc>
          <w:tcPr/>
          <w:p>
            <w:pPr>
              <w:pStyle w:val="Compact"/>
              <w:jc w:val="left"/>
            </w:pPr>
            <w:r>
              <w:t xml:space="preserve">$2,800.00</w:t>
            </w:r>
          </w:p>
        </w:tc>
        <w:tc>
          <w:tcPr/>
          <w:p>
            <w:pPr>
              <w:pStyle w:val="Compact"/>
              <w:jc w:val="left"/>
            </w:pPr>
            <w:r>
              <w:t xml:space="preserve">Quarterly</w:t>
            </w:r>
          </w:p>
        </w:tc>
      </w:tr>
      <w:tr>
        <w:tc>
          <w:tcPr/>
          <w:p>
            <w:pPr>
              <w:pStyle w:val="Compact"/>
              <w:jc w:val="left"/>
            </w:pPr>
            <w:r>
              <w:t xml:space="preserve">1.7</w:t>
            </w:r>
          </w:p>
        </w:tc>
        <w:tc>
          <w:tcPr/>
          <w:p>
            <w:pPr>
              <w:pStyle w:val="Compact"/>
              <w:jc w:val="left"/>
            </w:pPr>
            <w:r>
              <w:t xml:space="preserve">Emergency / After-Hours Support (up to 8 hrs/month)</w:t>
            </w:r>
          </w:p>
        </w:tc>
        <w:tc>
          <w:tcPr/>
          <w:p>
            <w:pPr>
              <w:pStyle w:val="Compact"/>
              <w:jc w:val="left"/>
            </w:pPr>
            <w:r>
              <w:t xml:space="preserve">$185.00</w:t>
            </w:r>
          </w:p>
        </w:tc>
        <w:tc>
          <w:tcPr/>
          <w:p>
            <w:pPr>
              <w:pStyle w:val="Compact"/>
              <w:jc w:val="left"/>
            </w:pPr>
            <w:r>
              <w:t xml:space="preserve">Per hour</w:t>
            </w:r>
          </w:p>
        </w:tc>
      </w:tr>
      <w:tr>
        <w:tc>
          <w:tcPr/>
          <w:p>
            <w:pPr>
              <w:pStyle w:val="Compact"/>
              <w:jc w:val="left"/>
            </w:pPr>
            <w:r>
              <w:t xml:space="preserve">1.8</w:t>
            </w:r>
          </w:p>
        </w:tc>
        <w:tc>
          <w:tcPr/>
          <w:p>
            <w:pPr>
              <w:pStyle w:val="Compact"/>
              <w:jc w:val="left"/>
            </w:pPr>
            <w:r>
              <w:t xml:space="preserve">Knowledge Transfer &amp; Team Training Sessions (2/month)</w:t>
            </w:r>
          </w:p>
        </w:tc>
        <w:tc>
          <w:tcPr/>
          <w:p>
            <w:pPr>
              <w:pStyle w:val="Compact"/>
              <w:jc w:val="left"/>
            </w:pPr>
            <w:r>
              <w:t xml:space="preserve">$1,600.00</w:t>
            </w:r>
          </w:p>
        </w:tc>
        <w:tc>
          <w:tcPr/>
          <w:p>
            <w:pPr>
              <w:pStyle w:val="Compact"/>
              <w:jc w:val="left"/>
            </w:pPr>
            <w:r>
              <w:t xml:space="preserve">Monthly</w:t>
            </w:r>
          </w:p>
        </w:tc>
      </w:tr>
      <w:tr>
        <w:tc>
          <w:tcPr>
            <w:gridSpan w:val="2"/>
          </w:tcPr>
          <w:p>
            <w:pPr>
              <w:pStyle w:val="Compact"/>
              <w:jc w:val="left"/>
            </w:pPr>
            <w:r>
              <w:t xml:space="preserve">Estimated Monthly Total (Recurring)</w:t>
            </w:r>
          </w:p>
        </w:tc>
        <w:tc>
          <w:tcPr/>
          <w:p>
            <w:pPr>
              <w:pStyle w:val="Compact"/>
              <w:jc w:val="left"/>
            </w:pPr>
            <w:r>
              <w:t xml:space="preserve">$18,050.00</w:t>
            </w:r>
          </w:p>
        </w:tc>
        <w:tc>
          <w:tcPr/>
          <w:p>
            <w:pPr>
              <w:pStyle w:val="Compact"/>
              <w:jc w:val="left"/>
            </w:pPr>
            <w:r>
              <w:t xml:space="preserve">Monthly</w:t>
            </w:r>
          </w:p>
        </w:tc>
      </w:tr>
      <w:tr>
        <w:tc>
          <w:tcPr>
            <w:gridSpan w:val="2"/>
          </w:tcPr>
          <w:p>
            <w:pPr>
              <w:pStyle w:val="Compact"/>
              <w:jc w:val="left"/>
            </w:pPr>
            <w:r>
              <w:t xml:space="preserve">Estimated 12-Month Engagement Total</w:t>
            </w:r>
          </w:p>
        </w:tc>
        <w:tc>
          <w:tcPr/>
          <w:p>
            <w:pPr>
              <w:pStyle w:val="Compact"/>
              <w:jc w:val="left"/>
            </w:pPr>
            <w:r>
              <w:t xml:space="preserve">$222,100.00</w:t>
            </w:r>
          </w:p>
        </w:tc>
        <w:tc>
          <w:tcPr/>
          <w:p>
            <w:pPr>
              <w:pStyle w:val="Compact"/>
              <w:jc w:val="left"/>
            </w:pPr>
            <w:r>
              <w:t xml:space="preserve">Annual</w:t>
            </w:r>
          </w:p>
        </w:tc>
      </w:tr>
    </w:tbl>
    <w:p>
      <w:pPr>
        <w:pStyle w:val="BodyText"/>
      </w:pPr>
      <w:r>
        <w:t xml:space="preserve">* All rates are quoted in United States Dollars (USD). Applicable Florida state sales tax and Miami-Dade County surcharges, if any, will be added to the final invoice as required by local tax law in United States Miami.</w:t>
      </w:r>
    </w:p>
    <w:bookmarkEnd w:id="27"/>
    <w:bookmarkStart w:id="28" w:name="payment-terms-schedule"/>
    <w:p>
      <w:pPr>
        <w:pStyle w:val="Heading2"/>
      </w:pPr>
      <w:r>
        <w:t xml:space="preserve">4. Payment Terms &amp; Schedule</w:t>
      </w:r>
    </w:p>
    <w:p>
      <w:pPr>
        <w:pStyle w:val="FirstParagraph"/>
      </w:pPr>
      <w:r>
        <w:t xml:space="preserve">Payment for this</w:t>
      </w:r>
      <w:r>
        <w:t xml:space="preserve"> </w:t>
      </w:r>
      <w:r>
        <w:t xml:space="preserve">Quotation Estimate</w:t>
      </w:r>
      <w:r>
        <w:t xml:space="preserve"> </w:t>
      </w:r>
      <w:r>
        <w:t xml:space="preserve">shall be made on a Net-30 basis from the date of invoice issuance. The client agrees to remit payment via ACH transfer or wire to the bank account designated by Atlantic Analytics Solutions LLC. A 1.5% monthly late fee will apply to any outstanding balances exceeding the Net-30 window. The initial one-time kickoff fee (Line Item 1.5) is due within 10 business days of contract execution. All recurring monthly fees are due on the 1st of each calendar month for services rendered in the preceding month. The</w:t>
      </w:r>
      <w:r>
        <w:t xml:space="preserve"> </w:t>
      </w:r>
      <w:r>
        <w:t xml:space="preserve">Data Scientist</w:t>
      </w:r>
      <w:r>
        <w:t xml:space="preserve"> </w:t>
      </w:r>
      <w:r>
        <w:t xml:space="preserve">engagement is billed in full monthly increments; partial-month billing will be prorated only upon early termination as outlined in Section 6.</w:t>
      </w:r>
    </w:p>
    <w:bookmarkEnd w:id="28"/>
    <w:bookmarkStart w:id="29" w:name="terms-conditions"/>
    <w:p>
      <w:pPr>
        <w:pStyle w:val="Heading2"/>
      </w:pPr>
      <w:r>
        <w:t xml:space="preserve">5. Terms &amp; Conditions</w:t>
      </w:r>
    </w:p>
    <w:p>
      <w:pPr>
        <w:pStyle w:val="FirstParagraph"/>
      </w:pPr>
      <w:r>
        <w:rPr>
          <w:bCs/>
          <w:b/>
        </w:rPr>
        <w:t xml:space="preserve">5.1 Validity:</w:t>
      </w:r>
      <w:r>
        <w:t xml:space="preserve"> </w:t>
      </w:r>
      <w:r>
        <w:t xml:space="preserve">This</w:t>
      </w:r>
      <w:r>
        <w:t xml:space="preserve"> </w:t>
      </w:r>
      <w:r>
        <w:t xml:space="preserve">Quotation Estimate</w:t>
      </w:r>
      <w:r>
        <w:t xml:space="preserve"> </w:t>
      </w:r>
      <w:r>
        <w:t xml:space="preserve">is valid for thirty (30) calendar days from the date of issue. After the expiration date, all rates and terms are subject to revision without prior notice.</w:t>
      </w:r>
    </w:p>
    <w:p>
      <w:pPr>
        <w:pStyle w:val="BodyText"/>
      </w:pPr>
      <w:r>
        <w:rPr>
          <w:bCs/>
          <w:b/>
        </w:rPr>
        <w:t xml:space="preserve">5.2 Confidentiality:</w:t>
      </w:r>
      <w:r>
        <w:t xml:space="preserve"> </w:t>
      </w:r>
      <w:r>
        <w:t xml:space="preserve">Both parties agree to maintain strict confidentiality regarding all proprietary data, algorithms, business strategies, and client information exchanged during the engagement. The</w:t>
      </w:r>
      <w:r>
        <w:t xml:space="preserve"> </w:t>
      </w:r>
      <w:r>
        <w:t xml:space="preserve">Data Scientist</w:t>
      </w:r>
      <w:r>
        <w:t xml:space="preserve"> </w:t>
      </w:r>
      <w:r>
        <w:t xml:space="preserve">will execute a mutual Non-Disclosure Agreement (NDA) prior to commencing work in</w:t>
      </w:r>
      <w:r>
        <w:t xml:space="preserve"> </w:t>
      </w:r>
      <w:r>
        <w:t xml:space="preserve">United States Miami</w:t>
      </w:r>
      <w:r>
        <w:t xml:space="preserve">.</w:t>
      </w:r>
    </w:p>
    <w:p>
      <w:pPr>
        <w:pStyle w:val="BodyText"/>
      </w:pPr>
      <w:r>
        <w:rPr>
          <w:bCs/>
          <w:b/>
        </w:rPr>
        <w:t xml:space="preserve">5.3 Intellectual Property:</w:t>
      </w:r>
      <w:r>
        <w:t xml:space="preserve"> </w:t>
      </w:r>
      <w:r>
        <w:t xml:space="preserve">All models, code, notebooks, and analytical artifacts produced by the</w:t>
      </w:r>
      <w:r>
        <w:t xml:space="preserve"> </w:t>
      </w:r>
      <w:r>
        <w:t xml:space="preserve">Data Scientist</w:t>
      </w:r>
      <w:r>
        <w:t xml:space="preserve"> </w:t>
      </w:r>
      <w:r>
        <w:t xml:space="preserve">during the term of this engagement shall become the sole intellectual property of the client upon full payment of all invoices.</w:t>
      </w:r>
    </w:p>
    <w:p>
      <w:pPr>
        <w:pStyle w:val="BodyText"/>
      </w:pPr>
      <w:r>
        <w:rPr>
          <w:bCs/>
          <w:b/>
        </w:rPr>
        <w:t xml:space="preserve">5.4 Compliance:</w:t>
      </w:r>
      <w:r>
        <w:t xml:space="preserve"> </w:t>
      </w:r>
      <w:r>
        <w:t xml:space="preserve">The</w:t>
      </w:r>
      <w:r>
        <w:t xml:space="preserve"> </w:t>
      </w:r>
      <w:r>
        <w:t xml:space="preserve">Data Scientist</w:t>
      </w:r>
      <w:r>
        <w:t xml:space="preserve"> </w:t>
      </w:r>
      <w:r>
        <w:t xml:space="preserve">shall comply with all applicable United States federal laws, Florida state regulations, and local ordinances in</w:t>
      </w:r>
      <w:r>
        <w:t xml:space="preserve"> </w:t>
      </w:r>
      <w:r>
        <w:t xml:space="preserve">United States Miami</w:t>
      </w:r>
      <w:r>
        <w:t xml:space="preserve">, including but not limited to data privacy, labor, and anti-discrimination statutes.</w:t>
      </w:r>
    </w:p>
    <w:p>
      <w:pPr>
        <w:pStyle w:val="BodyText"/>
      </w:pPr>
      <w:r>
        <w:rPr>
          <w:bCs/>
          <w:b/>
        </w:rPr>
        <w:t xml:space="preserve">5.5 Insurance:</w:t>
      </w:r>
      <w:r>
        <w:t xml:space="preserve"> </w:t>
      </w:r>
      <w:r>
        <w:t xml:space="preserve">Atlantic Analytics Solutions LLC maintains professional liability insurance with a minimum coverage of $2,000,000 per occurrence, valid throughout the United States, including the state of Florida.</w:t>
      </w:r>
    </w:p>
    <w:bookmarkEnd w:id="29"/>
    <w:bookmarkStart w:id="30" w:name="termination-cancellation"/>
    <w:p>
      <w:pPr>
        <w:pStyle w:val="Heading2"/>
      </w:pPr>
      <w:r>
        <w:t xml:space="preserve">6. Termination &amp; Cancellation</w:t>
      </w:r>
    </w:p>
    <w:p>
      <w:pPr>
        <w:pStyle w:val="FirstParagraph"/>
      </w:pPr>
      <w:r>
        <w:t xml:space="preserve">Either party may terminate this</w:t>
      </w:r>
      <w:r>
        <w:t xml:space="preserve"> </w:t>
      </w:r>
      <w:r>
        <w:t xml:space="preserve">Quotation Estimate</w:t>
      </w:r>
      <w:r>
        <w:t xml:space="preserve"> </w:t>
      </w:r>
      <w:r>
        <w:t xml:space="preserve">agreement with a written thirty (30) day notice. Upon termination, the client shall be responsible for all services rendered up to the effective date of termination. The</w:t>
      </w:r>
      <w:r>
        <w:t xml:space="preserve"> </w:t>
      </w:r>
      <w:r>
        <w:t xml:space="preserve">Data Scientist</w:t>
      </w:r>
      <w:r>
        <w:t xml:space="preserve"> </w:t>
      </w:r>
      <w:r>
        <w:t xml:space="preserve">will provide a full handover of all work-in-progress deliverables, documentation, and access credentials within fifteen (15) business days of the termination notice. No penalty fees apply for early termination beyond the 30-day notice period.</w:t>
      </w:r>
    </w:p>
    <w:bookmarkEnd w:id="30"/>
    <w:bookmarkStart w:id="31" w:name="acceptance-authorization"/>
    <w:p>
      <w:pPr>
        <w:pStyle w:val="Heading2"/>
      </w:pPr>
      <w:r>
        <w:t xml:space="preserve">7. Acceptance &amp; Authorization</w:t>
      </w:r>
    </w:p>
    <w:p>
      <w:pPr>
        <w:pStyle w:val="FirstParagraph"/>
      </w:pPr>
      <w:r>
        <w:t xml:space="preserve">By signing below, the client acknowledges receipt of this</w:t>
      </w:r>
      <w:r>
        <w:t xml:space="preserve"> </w:t>
      </w:r>
      <w:r>
        <w:t xml:space="preserve">Quotation Estimate</w:t>
      </w:r>
      <w:r>
        <w:t xml:space="preserve">, confirms acceptance of all terms, rates, and scope of services described herein, and authorizes Atlantic Analytics Solutions LLC to commence the</w:t>
      </w:r>
      <w:r>
        <w:t xml:space="preserve"> </w:t>
      </w:r>
      <w:r>
        <w:t xml:space="preserve">Data Scientist</w:t>
      </w:r>
      <w:r>
        <w:t xml:space="preserve"> </w:t>
      </w:r>
      <w:r>
        <w:t xml:space="preserve">engagement in</w:t>
      </w:r>
      <w:r>
        <w:t xml:space="preserve"> </w:t>
      </w:r>
      <w:r>
        <w:t xml:space="preserve">United States Miami</w:t>
      </w:r>
      <w:r>
        <w:t xml:space="preserve"> </w:t>
      </w:r>
      <w:r>
        <w:t xml:space="preserve">effective the date specified in the executed master services agreement.</w:t>
      </w:r>
    </w:p>
    <w:p>
      <w:pPr>
        <w:pStyle w:val="BodyText"/>
      </w:pPr>
      <w:r>
        <w:rPr>
          <w:bCs/>
          <w:b/>
        </w:rPr>
        <w:t xml:space="preserve">Client Authorized Signatory</w:t>
      </w:r>
    </w:p>
    <w:p>
      <w:pPr>
        <w:pStyle w:val="BodyText"/>
      </w:pPr>
      <w:r>
        <w:t xml:space="preserve">Name / Title / Date</w:t>
      </w:r>
    </w:p>
    <w:p>
      <w:pPr>
        <w:pStyle w:val="BodyText"/>
      </w:pPr>
      <w:r>
        <w:rPr>
          <w:bCs/>
          <w:b/>
        </w:rPr>
        <w:t xml:space="preserve">Atlantic Analytics Solutions LLC</w:t>
      </w:r>
    </w:p>
    <w:p>
      <w:pPr>
        <w:pStyle w:val="BodyText"/>
      </w:pPr>
      <w:r>
        <w:t xml:space="preserve">Name / Title / Date</w:t>
      </w:r>
    </w:p>
    <w:p>
      <w:pPr>
        <w:pStyle w:val="BodyText"/>
      </w:pPr>
      <w:r>
        <w:t xml:space="preserve">Quotation Estimate QE-DS-2025-0847 | Atlantic Analytics Solutions LLC | United States Miami, FL 33132</w:t>
      </w:r>
    </w:p>
    <w:p>
      <w:pPr>
        <w:pStyle w:val="BodyText"/>
      </w:pPr>
      <w:r>
        <w:t xml:space="preserve">This document is a formal Quotation Estimate for Data Scientist services and does not constitute a binding contract until countersigned by both parties.</w:t>
      </w:r>
    </w:p>
    <w:p>
      <w:pPr>
        <w:pStyle w:val="BodyText"/>
      </w:pPr>
      <w:r>
        <w:t xml:space="preserve">© 2025 Atlantic Analytics Solutions LLC.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Services - United States Miami</dc:title>
  <dc:creator/>
  <dc:language>en</dc:language>
  <cp:keywords/>
  <dcterms:created xsi:type="dcterms:W3CDTF">2026-10-10T02:14:15Z</dcterms:created>
  <dcterms:modified xsi:type="dcterms:W3CDTF">2026-10-10T02:14:15Z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