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ProData Analytics Solutions LLP</w:t>
      </w:r>
    </w:p>
    <w:p>
      <w:pPr>
        <w:pStyle w:val="BodyText"/>
      </w:pPr>
      <w:r>
        <w:t xml:space="preserve">14 Amir Temur Avenue, Tashkent, 100011, Uzbekistan</w:t>
      </w:r>
    </w:p>
    <w:p>
      <w:pPr>
        <w:pStyle w:val="BodyText"/>
      </w:pPr>
      <w:r>
        <w:t xml:space="preserve">Tel: +998 71 200 45 67 | Email: quotes@prodata.uz</w:t>
      </w:r>
    </w:p>
    <w:p>
      <w:pPr>
        <w:pStyle w:val="BodyText"/>
      </w:pPr>
      <w:r>
        <w:t xml:space="preserve">Registration No. 01234567 | VAT ID: 200123456</w:t>
      </w:r>
    </w:p>
    <w:bookmarkEnd w:id="20"/>
    <w:p>
      <w:pPr>
        <w:pStyle w:val="BodyText"/>
      </w:pPr>
      <w:r>
        <w:rPr>
          <w:bCs/>
          <w:b/>
        </w:rPr>
        <w:t xml:space="preserve">Quotation Estimate No.</w:t>
      </w:r>
      <w:r>
        <w:t xml:space="preserve"> </w:t>
      </w:r>
      <w:r>
        <w:t xml:space="preserve">QE-TSK-2025-0487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Digital Infrastructure JSC</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ProData Analytics Solutions LLP in response to the formal request from Tashkent Digital Infrastructure JSC for the engagement of a senior</w:t>
      </w:r>
      <w:r>
        <w:t xml:space="preserve"> </w:t>
      </w:r>
      <w:r>
        <w:t xml:space="preserve">Data Scientist</w:t>
      </w:r>
      <w:r>
        <w:t xml:space="preserve"> </w:t>
      </w:r>
      <w:r>
        <w:t xml:space="preserve">to support advanced analytics, machine learning model development, and predictive data pipeline architecture within the</w:t>
      </w:r>
      <w:r>
        <w:t xml:space="preserve"> </w:t>
      </w:r>
      <w:r>
        <w:t xml:space="preserve">Uzbekistan Tashkent</w:t>
      </w:r>
      <w:r>
        <w:t xml:space="preserve"> </w:t>
      </w:r>
      <w:r>
        <w:t xml:space="preserve">metropolitan region. This document outlines the full scope of professional services, associated costs, delivery timelines, and contractual terms governing the proposed engagement. All pricing presented in this</w:t>
      </w:r>
      <w:r>
        <w:t xml:space="preserve"> </w:t>
      </w:r>
      <w:r>
        <w:t xml:space="preserve">Quotation Estimate</w:t>
      </w:r>
      <w:r>
        <w:t xml:space="preserve"> </w:t>
      </w:r>
      <w:r>
        <w:t xml:space="preserve">is denominated in Uzbek Som (UZS) and reflects current market rates applicable to the</w:t>
      </w:r>
      <w:r>
        <w:t xml:space="preserve"> </w:t>
      </w:r>
      <w:r>
        <w:t xml:space="preserve">Uzbekistan Tashkent</w:t>
      </w:r>
      <w:r>
        <w:t xml:space="preserve"> </w:t>
      </w:r>
      <w:r>
        <w:t xml:space="preserve">technology sector as of the date of issue.</w:t>
      </w:r>
    </w:p>
    <w:bookmarkEnd w:id="21"/>
    <w:bookmarkStart w:id="22" w:name="X63374f975029d5df69b9e864ae1578da5f63909"/>
    <w:p>
      <w:pPr>
        <w:pStyle w:val="Heading2"/>
      </w:pPr>
      <w:r>
        <w:t xml:space="preserve">2. Detailed Scope of Services – Data Scientist Engagement</w:t>
      </w:r>
    </w:p>
    <w:p>
      <w:pPr>
        <w:pStyle w:val="FirstParagraph"/>
      </w:pPr>
      <w:r>
        <w:t xml:space="preserve">The proposed</w:t>
      </w:r>
      <w:r>
        <w:t xml:space="preserve"> </w:t>
      </w:r>
      <w:r>
        <w:t xml:space="preserve">Data Scientist</w:t>
      </w:r>
      <w:r>
        <w:t xml:space="preserve"> </w:t>
      </w:r>
      <w:r>
        <w:t xml:space="preserve">will be embedded within the client's Tashkent operations center and will deliver the following core competencies over the contracted period:</w:t>
      </w:r>
    </w:p>
    <w:p>
      <w:pPr>
        <w:numPr>
          <w:ilvl w:val="0"/>
          <w:numId w:val="1001"/>
        </w:numPr>
        <w:pStyle w:val="Compact"/>
      </w:pPr>
      <w:r>
        <w:t xml:space="preserve">Design, development, and deployment of machine learning models for demand forecasting, anomaly detection, and customer segmentation tailored to the</w:t>
      </w:r>
      <w:r>
        <w:t xml:space="preserve"> </w:t>
      </w:r>
      <w:r>
        <w:t xml:space="preserve">Uzbekistan Tashkent</w:t>
      </w:r>
      <w:r>
        <w:t xml:space="preserve"> </w:t>
      </w:r>
      <w:r>
        <w:t xml:space="preserve">market context.</w:t>
      </w:r>
    </w:p>
    <w:p>
      <w:pPr>
        <w:numPr>
          <w:ilvl w:val="0"/>
          <w:numId w:val="1001"/>
        </w:numPr>
        <w:pStyle w:val="Compact"/>
      </w:pPr>
      <w:r>
        <w:t xml:space="preserve">Construction and optimization of end-to-end data pipelines ingesting structured and unstructured data from municipal, commercial, and telecommunications sources across</w:t>
      </w:r>
      <w:r>
        <w:t xml:space="preserve"> </w:t>
      </w:r>
      <w:r>
        <w:t xml:space="preserve">Uzbekistan Tashkent</w:t>
      </w:r>
      <w:r>
        <w:t xml:space="preserve">.</w:t>
      </w:r>
    </w:p>
    <w:p>
      <w:pPr>
        <w:numPr>
          <w:ilvl w:val="0"/>
          <w:numId w:val="1001"/>
        </w:numPr>
        <w:pStyle w:val="Compact"/>
      </w:pPr>
      <w:r>
        <w:t xml:space="preserve">Statistical analysis and exploratory data analysis (EDA) to identify actionable business insights for senior leadership.</w:t>
      </w:r>
    </w:p>
    <w:p>
      <w:pPr>
        <w:numPr>
          <w:ilvl w:val="0"/>
          <w:numId w:val="1001"/>
        </w:numPr>
        <w:pStyle w:val="Compact"/>
      </w:pPr>
      <w:r>
        <w:t xml:space="preserve">Development of natural language processing (NLP) solutions for processing Uzbek-language and Russian-language textual data relevant to local regulatory and customer service operations.</w:t>
      </w:r>
    </w:p>
    <w:p>
      <w:pPr>
        <w:numPr>
          <w:ilvl w:val="0"/>
          <w:numId w:val="1001"/>
        </w:numPr>
        <w:pStyle w:val="Compact"/>
      </w:pPr>
      <w:r>
        <w:t xml:space="preserve">Creation of interactive dashboards and reporting frameworks using Python, R, and modern visualization libraries.</w:t>
      </w:r>
    </w:p>
    <w:p>
      <w:pPr>
        <w:numPr>
          <w:ilvl w:val="0"/>
          <w:numId w:val="1001"/>
        </w:numPr>
        <w:pStyle w:val="Compact"/>
      </w:pPr>
      <w:r>
        <w:t xml:space="preserve">Mentorship and knowledge transfer to the in-house analytics team based in Tashkent to ensure long-term capability building.</w:t>
      </w:r>
    </w:p>
    <w:p>
      <w:pPr>
        <w:numPr>
          <w:ilvl w:val="0"/>
          <w:numId w:val="1001"/>
        </w:numPr>
        <w:pStyle w:val="Compact"/>
      </w:pPr>
      <w:r>
        <w:t xml:space="preserve">Compliance with all data protection regulations applicable in the Republic of Uzbekistan, including the Law on Personal Data Protection and relevant national cybersecurity standards.</w:t>
      </w:r>
    </w:p>
    <w:bookmarkEnd w:id="22"/>
    <w:bookmarkStart w:id="23"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Senior Data Scientist – Monthly Professional Fee (full-time, 40 hrs/week, on-site in Tashkent)</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Machine Learning Model Development &amp; Deployment (3 major models)</w:t>
            </w:r>
          </w:p>
        </w:tc>
        <w:tc>
          <w:tcPr/>
          <w:p>
            <w:pPr>
              <w:pStyle w:val="Compact"/>
              <w:jc w:val="left"/>
            </w:pPr>
            <w:r>
              <w:t xml:space="preserve">Project-based</w:t>
            </w:r>
          </w:p>
        </w:tc>
        <w:tc>
          <w:tcPr/>
          <w:p>
            <w:pPr>
              <w:pStyle w:val="Compact"/>
              <w:jc w:val="left"/>
            </w:pPr>
            <w:r>
              <w:t xml:space="preserve">—</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Data Pipeline Architecture Design &amp; Implementation</w:t>
            </w:r>
          </w:p>
        </w:tc>
        <w:tc>
          <w:tcPr/>
          <w:p>
            <w:pPr>
              <w:pStyle w:val="Compact"/>
              <w:jc w:val="left"/>
            </w:pPr>
            <w:r>
              <w:t xml:space="preserve">Project-based</w:t>
            </w:r>
          </w:p>
        </w:tc>
        <w:tc>
          <w:tcPr/>
          <w:p>
            <w:pPr>
              <w:pStyle w:val="Compact"/>
              <w:jc w:val="left"/>
            </w:pPr>
            <w:r>
              <w:t xml:space="preserve">—</w:t>
            </w:r>
          </w:p>
        </w:tc>
        <w:tc>
          <w:tcPr/>
          <w:p>
            <w:pPr>
              <w:pStyle w:val="Compact"/>
              <w:jc w:val="left"/>
            </w:pPr>
            <w:r>
              <w:t xml:space="preserve">85,000,000</w:t>
            </w:r>
          </w:p>
        </w:tc>
      </w:tr>
      <w:tr>
        <w:tc>
          <w:tcPr/>
          <w:p>
            <w:pPr>
              <w:pStyle w:val="Compact"/>
              <w:jc w:val="left"/>
            </w:pPr>
            <w:r>
              <w:t xml:space="preserve">04</w:t>
            </w:r>
          </w:p>
        </w:tc>
        <w:tc>
          <w:tcPr/>
          <w:p>
            <w:pPr>
              <w:pStyle w:val="Compact"/>
              <w:jc w:val="left"/>
            </w:pPr>
            <w:r>
              <w:t xml:space="preserve">NLP Solution Development (Uzbek &amp; Russian language processing)</w:t>
            </w:r>
          </w:p>
        </w:tc>
        <w:tc>
          <w:tcPr/>
          <w:p>
            <w:pPr>
              <w:pStyle w:val="Compact"/>
              <w:jc w:val="left"/>
            </w:pPr>
            <w:r>
              <w:t xml:space="preserve">Project-based</w:t>
            </w:r>
          </w:p>
        </w:tc>
        <w:tc>
          <w:tcPr/>
          <w:p>
            <w:pPr>
              <w:pStyle w:val="Compact"/>
              <w:jc w:val="left"/>
            </w:pPr>
            <w:r>
              <w:t xml:space="preserve">—</w:t>
            </w:r>
          </w:p>
        </w:tc>
        <w:tc>
          <w:tcPr/>
          <w:p>
            <w:pPr>
              <w:pStyle w:val="Compact"/>
              <w:jc w:val="left"/>
            </w:pPr>
            <w:r>
              <w:t xml:space="preserve">65,000,000</w:t>
            </w:r>
          </w:p>
        </w:tc>
      </w:tr>
      <w:tr>
        <w:tc>
          <w:tcPr/>
          <w:p>
            <w:pPr>
              <w:pStyle w:val="Compact"/>
              <w:jc w:val="left"/>
            </w:pPr>
            <w:r>
              <w:t xml:space="preserve">05</w:t>
            </w:r>
          </w:p>
        </w:tc>
        <w:tc>
          <w:tcPr/>
          <w:p>
            <w:pPr>
              <w:pStyle w:val="Compact"/>
              <w:jc w:val="left"/>
            </w:pPr>
            <w:r>
              <w:t xml:space="preserve">Dashboard &amp; Reporting Framework Setup (5 interactive modules)</w:t>
            </w:r>
          </w:p>
        </w:tc>
        <w:tc>
          <w:tcPr/>
          <w:p>
            <w:pPr>
              <w:pStyle w:val="Compact"/>
              <w:jc w:val="left"/>
            </w:pPr>
            <w:r>
              <w:t xml:space="preserve">Project-based</w:t>
            </w:r>
          </w:p>
        </w:tc>
        <w:tc>
          <w:tcPr/>
          <w:p>
            <w:pPr>
              <w:pStyle w:val="Compact"/>
              <w:jc w:val="left"/>
            </w:pPr>
            <w:r>
              <w:t xml:space="preserve">—</w:t>
            </w:r>
          </w:p>
        </w:tc>
        <w:tc>
          <w:tcPr/>
          <w:p>
            <w:pPr>
              <w:pStyle w:val="Compact"/>
              <w:jc w:val="left"/>
            </w:pPr>
            <w:r>
              <w:t xml:space="preserve">40,000,000</w:t>
            </w:r>
          </w:p>
        </w:tc>
      </w:tr>
      <w:tr>
        <w:tc>
          <w:tcPr/>
          <w:p>
            <w:pPr>
              <w:pStyle w:val="Compact"/>
              <w:jc w:val="left"/>
            </w:pPr>
            <w:r>
              <w:t xml:space="preserve">06</w:t>
            </w:r>
          </w:p>
        </w:tc>
        <w:tc>
          <w:tcPr/>
          <w:p>
            <w:pPr>
              <w:pStyle w:val="Compact"/>
              <w:jc w:val="left"/>
            </w:pPr>
            <w:r>
              <w:t xml:space="preserve">Team Training &amp; Knowledge Transfer Sessions (8 sessions, 4 hrs each)</w:t>
            </w:r>
          </w:p>
        </w:tc>
        <w:tc>
          <w:tcPr/>
          <w:p>
            <w:pPr>
              <w:pStyle w:val="Compact"/>
              <w:jc w:val="left"/>
            </w:pPr>
            <w:r>
              <w:t xml:space="preserve">Project-based</w:t>
            </w:r>
          </w:p>
        </w:tc>
        <w:tc>
          <w:tcPr/>
          <w:p>
            <w:pPr>
              <w:pStyle w:val="Compact"/>
              <w:jc w:val="left"/>
            </w:pPr>
            <w:r>
              <w:t xml:space="preserve">—</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Software Licenses &amp; Cloud Compute Resources (annual allocation)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28,000,000</w:t>
            </w:r>
          </w:p>
        </w:tc>
      </w:tr>
      <w:tr>
        <w:tc>
          <w:tcPr/>
          <w:p>
            <w:pPr>
              <w:pStyle w:val="Compact"/>
              <w:jc w:val="left"/>
            </w:pPr>
            <w:r>
              <w:t xml:space="preserve">08</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30,000,000</w:t>
            </w:r>
          </w:p>
        </w:tc>
      </w:tr>
      <w:tr>
        <w:tc>
          <w:tcPr>
            <w:gridSpan w:val="4"/>
          </w:tcPr>
          <w:p>
            <w:pPr>
              <w:pStyle w:val="Compact"/>
              <w:jc w:val="left"/>
            </w:pPr>
            <w:r>
              <w:t xml:space="preserve">TOTAL QUOTATION ESTIMATE AMOUNT (excl. VAT)</w:t>
            </w:r>
          </w:p>
        </w:tc>
        <w:tc>
          <w:tcPr/>
          <w:p>
            <w:pPr>
              <w:pStyle w:val="Compact"/>
              <w:jc w:val="left"/>
            </w:pPr>
            <w:r>
              <w:t xml:space="preserve">940,000,000 UZS</w:t>
            </w:r>
          </w:p>
        </w:tc>
      </w:tr>
      <w:tr>
        <w:tc>
          <w:tcPr>
            <w:gridSpan w:val="4"/>
          </w:tcPr>
          <w:p>
            <w:pPr>
              <w:pStyle w:val="Compact"/>
              <w:jc w:val="left"/>
            </w:pPr>
            <w:r>
              <w:t xml:space="preserve">VAT (12% – Republic of Uzbekistan)</w:t>
            </w:r>
          </w:p>
        </w:tc>
        <w:tc>
          <w:tcPr/>
          <w:p>
            <w:pPr>
              <w:pStyle w:val="Compact"/>
              <w:jc w:val="left"/>
            </w:pPr>
            <w:r>
              <w:t xml:space="preserve">112,800,000 UZS</w:t>
            </w:r>
          </w:p>
        </w:tc>
      </w:tr>
      <w:tr>
        <w:tc>
          <w:tcPr>
            <w:gridSpan w:val="4"/>
          </w:tcPr>
          <w:p>
            <w:pPr>
              <w:pStyle w:val="Compact"/>
              <w:jc w:val="left"/>
            </w:pPr>
            <w:r>
              <w:t xml:space="preserve">GRAND TOTAL (incl. VAT)</w:t>
            </w:r>
          </w:p>
        </w:tc>
        <w:tc>
          <w:tcPr/>
          <w:p>
            <w:pPr>
              <w:pStyle w:val="Compact"/>
              <w:jc w:val="left"/>
            </w:pPr>
            <w:r>
              <w:t xml:space="preserve">1,052,800,000 UZS</w:t>
            </w:r>
          </w:p>
        </w:tc>
      </w:tr>
    </w:tbl>
    <w:bookmarkEnd w:id="23"/>
    <w:bookmarkStart w:id="24" w:name="payment-schedule"/>
    <w:p>
      <w:pPr>
        <w:pStyle w:val="Heading2"/>
      </w:pPr>
      <w:r>
        <w:t xml:space="preserve">4. Payment Schedule</w:t>
      </w:r>
    </w:p>
    <w:p>
      <w:pPr>
        <w:pStyle w:val="FirstParagraph"/>
      </w:pPr>
      <w:r>
        <w:t xml:space="preserve">As stipulated in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(315,840,000 UZS) upon execution of the service agreement and receipt of the signed</w:t>
      </w:r>
      <w:r>
        <w:t xml:space="preserve"> </w:t>
      </w:r>
      <w:r>
        <w:t xml:space="preserve">Quotation Estimate</w:t>
      </w:r>
      <w:r>
        <w:t xml:space="preserve"> </w:t>
      </w:r>
      <w:r>
        <w:t xml:space="preserve">acceptance form.</w:t>
      </w:r>
    </w:p>
    <w:p>
      <w:pPr>
        <w:numPr>
          <w:ilvl w:val="0"/>
          <w:numId w:val="1002"/>
        </w:numPr>
        <w:pStyle w:val="Compact"/>
      </w:pPr>
      <w:r>
        <w:rPr>
          <w:bCs/>
          <w:b/>
        </w:rPr>
        <w:t xml:space="preserve">40% milestone payment</w:t>
      </w:r>
      <w:r>
        <w:t xml:space="preserve"> </w:t>
      </w:r>
      <w:r>
        <w:t xml:space="preserve">(421,120,000 UZS) upon successful delivery and client sign-off of the machine learning models and data pipeline architecture (Items 02 and 03).</w:t>
      </w:r>
    </w:p>
    <w:p>
      <w:pPr>
        <w:numPr>
          <w:ilvl w:val="0"/>
          <w:numId w:val="1002"/>
        </w:numPr>
        <w:pStyle w:val="Compact"/>
      </w:pPr>
      <w:r>
        <w:rPr>
          <w:bCs/>
          <w:b/>
        </w:rPr>
        <w:t xml:space="preserve">30% final payment</w:t>
      </w:r>
      <w:r>
        <w:t xml:space="preserve"> </w:t>
      </w:r>
      <w:r>
        <w:t xml:space="preserve">(315,840,000 UZS) upon completion of all remaining deliverables, final knowledge transfer sessions, and issuance of the project completion certificate.</w:t>
      </w:r>
    </w:p>
    <w:p>
      <w:pPr>
        <w:pStyle w:val="FirstParagraph"/>
      </w:pPr>
      <w:r>
        <w:t xml:space="preserve">All payments shall be made via bank transfer to the account of ProData Analytics Solutions LLP, Tashkent, Uzbekistan, within fifteen (15) business days of invoice issuance. Late payments shall accrue interest at the rate of 0.5% per calendar day as permitted under the Civil Code of the Republic of Uzbekistan.</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 the</w:t>
      </w:r>
      <w:r>
        <w:t xml:space="preserve"> </w:t>
      </w:r>
      <w:r>
        <w:t xml:space="preserve">Uzbekistan Tashkent</w:t>
      </w:r>
      <w:r>
        <w:t xml:space="preserve"> </w:t>
      </w:r>
      <w:r>
        <w:t xml:space="preserve">technology labor market.</w:t>
      </w:r>
    </w:p>
    <w:p>
      <w:pPr>
        <w:numPr>
          <w:ilvl w:val="0"/>
          <w:numId w:val="1003"/>
        </w:numPr>
        <w:pStyle w:val="Compact"/>
      </w:pPr>
      <w:r>
        <w:t xml:space="preserve">The</w:t>
      </w:r>
      <w:r>
        <w:t xml:space="preserve"> </w:t>
      </w:r>
      <w:r>
        <w:t xml:space="preserve">Data Scientist</w:t>
      </w:r>
      <w:r>
        <w:t xml:space="preserve"> </w:t>
      </w:r>
      <w:r>
        <w:t xml:space="preserve">engaged under this agreement shall work full-time at the client's designated office in Tashkent, Uzbekistan, Monday through Friday, 09:00–18:00, with a one-hour lunch break.</w:t>
      </w:r>
    </w:p>
    <w:p>
      <w:pPr>
        <w:numPr>
          <w:ilvl w:val="0"/>
          <w:numId w:val="1003"/>
        </w:numPr>
        <w:pStyle w:val="Compact"/>
      </w:pPr>
      <w:r>
        <w:t xml:space="preserve">All intellectual property, models, code, documentation, and analytical outputs produced during the engagement shall become the exclusive property of the client upon full payment.</w:t>
      </w:r>
    </w:p>
    <w:p>
      <w:pPr>
        <w:numPr>
          <w:ilvl w:val="0"/>
          <w:numId w:val="1003"/>
        </w:numPr>
        <w:pStyle w:val="Compact"/>
      </w:pPr>
      <w:r>
        <w:t xml:space="preserve">Both parties agree to maintain strict confidentiality of all proprietary data, business strategies, and technical information exchanged during the course of this project, in accordance with Uzbekistan's commercial secrecy legislation.</w:t>
      </w:r>
    </w:p>
    <w:p>
      <w:pPr>
        <w:numPr>
          <w:ilvl w:val="0"/>
          <w:numId w:val="1003"/>
        </w:numPr>
        <w:pStyle w:val="Compact"/>
      </w:pPr>
      <w:r>
        <w:t xml:space="preserve">The</w:t>
      </w:r>
      <w:r>
        <w:t xml:space="preserve"> </w:t>
      </w:r>
      <w:r>
        <w:t xml:space="preserve">Data Scientist</w:t>
      </w:r>
      <w:r>
        <w:t xml:space="preserve"> </w:t>
      </w:r>
      <w:r>
        <w:t xml:space="preserve">shall comply with all applicable labor laws of the Republic of Uzbekistan, including but not limited to the Labor Code of the Republic of Uzbekistan and relevant tax withholding obligations.</w:t>
      </w:r>
    </w:p>
    <w:p>
      <w:pPr>
        <w:numPr>
          <w:ilvl w:val="0"/>
          <w:numId w:val="1003"/>
        </w:numPr>
        <w:pStyle w:val="Compact"/>
      </w:pPr>
      <w:r>
        <w:t xml:space="preserve">Either party may terminate this agreement with thirty (30) days' written notice. In the event of early termination, the client shall be liable for all services rendered up to the termination date plus a 10% administrative fee.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service agreement shall be resolved through amicable negotiation. Failing resolution within thirty (30) days, disputes shall be submitted to the Tashkent City Arbitration Court in Tashkent, Uzbekistan.</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Level Agreement (SLA).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Data Scientist</w:t>
      </w:r>
      <w:r>
        <w:t xml:space="preserve"> </w:t>
      </w:r>
      <w:r>
        <w:t xml:space="preserve">in</w:t>
      </w:r>
      <w:r>
        <w:t xml:space="preserve"> </w:t>
      </w:r>
      <w:r>
        <w:t xml:space="preserve">Uzbekistan Tashkent</w:t>
      </w:r>
      <w:r>
        <w:t xml:space="preserve">.</w:t>
      </w:r>
    </w:p>
    <w:p>
      <w:pPr>
        <w:pStyle w:val="BodyText"/>
      </w:pPr>
      <w:r>
        <w:rPr>
          <w:bCs/>
          <w:b/>
        </w:rPr>
        <w:t xml:space="preserve">For ProData Analytics Solutions LLP</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Tashkent Digital Infrastructure JSC</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(QE-TSK-2025-0487) was prepared exclusively for Tashkent Digital Infrastructure JSC and may not be reproduced or distributed without prior written consent of ProData Analytics Solutions LLP. All references to Uzbekistan Tashkent denote the primary operational jurisdiction for this Data Scientist engagement. Document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Uzbekistan Tashkent</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file>