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Islamabad,</w:t>
      </w:r>
      <w:r>
        <w:t xml:space="preserve"> </w:t>
      </w:r>
      <w:r>
        <w:t xml:space="preserve">Pakistan</w:t>
      </w:r>
    </w:p>
    <w:bookmarkStart w:id="20" w:name="capital-dental-care-research-institute"/>
    <w:p>
      <w:pPr>
        <w:pStyle w:val="Heading1"/>
      </w:pPr>
      <w:r>
        <w:t xml:space="preserve">Capital Dental Care &amp; Research Institute</w:t>
      </w:r>
    </w:p>
    <w:p>
      <w:pPr>
        <w:pStyle w:val="FirstParagraph"/>
      </w:pPr>
      <w:r>
        <w:t xml:space="preserve">Plot 42, Blue Area, Jinnah Avenue, Islamabad, Pakistan</w:t>
      </w:r>
    </w:p>
    <w:p>
      <w:pPr>
        <w:pStyle w:val="BodyText"/>
      </w:pPr>
      <w:r>
        <w:t xml:space="preserve">Phone: +92-51-227-4567 | Email: info@capitaldental.pk</w:t>
      </w:r>
    </w:p>
    <w:p>
      <w:pPr>
        <w:pStyle w:val="BodyText"/>
      </w:pPr>
      <w:r>
        <w:t xml:space="preserve">Registration No: PKT-DC-2019-0847 | NDC License: NDC/ISB/2020/112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Ayesha Khan, Chief Dental Surgeon</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Muhammad Imran Siddiqui</w:t>
      </w:r>
    </w:p>
    <w:p>
      <w:pPr>
        <w:pStyle w:val="BodyText"/>
      </w:pPr>
      <w:r>
        <w:rPr>
          <w:bCs/>
          <w:b/>
        </w:rPr>
        <w:t xml:space="preserve">Address:</w:t>
      </w:r>
      <w:r>
        <w:t xml:space="preserve"> </w:t>
      </w:r>
      <w:r>
        <w:t xml:space="preserve">House 18, Street 7, F-10/2, Islamabad, Pakistan</w:t>
      </w:r>
    </w:p>
    <w:p>
      <w:pPr>
        <w:pStyle w:val="BodyText"/>
      </w:pPr>
      <w:r>
        <w:rPr>
          <w:bCs/>
          <w:b/>
        </w:rPr>
        <w:t xml:space="preserve">Phone:</w:t>
      </w:r>
      <w:r>
        <w:t xml:space="preserve"> </w:t>
      </w:r>
      <w:r>
        <w:t xml:space="preserve">+92-300-1234567</w:t>
      </w:r>
    </w:p>
    <w:p>
      <w:pPr>
        <w:pStyle w:val="BodyText"/>
      </w:pPr>
      <w:r>
        <w:rPr>
          <w:bCs/>
          <w:b/>
        </w:rPr>
        <w:t xml:space="preserve">CNIC:</w:t>
      </w:r>
      <w:r>
        <w:t xml:space="preserve"> </w:t>
      </w:r>
      <w:r>
        <w:t xml:space="preserve">35202-XXXXXXX-1</w:t>
      </w:r>
    </w:p>
    <w:bookmarkEnd w:id="22"/>
    <w:p>
      <w:pPr>
        <w:pStyle w:val="BodyText"/>
      </w:pPr>
      <w:r>
        <w:t xml:space="preserve">Dear Mr. Siddiqui,</w:t>
      </w:r>
    </w:p>
    <w:p>
      <w:pPr>
        <w:pStyle w:val="BodyText"/>
      </w:pPr>
      <w:r>
        <w:t xml:space="preserve">Thank you for visiting</w:t>
      </w:r>
      <w:r>
        <w:t xml:space="preserve"> </w:t>
      </w:r>
      <w:r>
        <w:rPr>
          <w:bCs/>
          <w:b/>
        </w:rPr>
        <w:t xml:space="preserve">Capital Dental Care &amp; Research Institute</w:t>
      </w:r>
      <w:r>
        <w:t xml:space="preserve">, Islamabad, Pakistan, on 12 June 2025 for a comprehensive dental consultation. Following your clinical examination, intraoral radiographs (OPG and periapical X-rays), and periodontal assessment conducted by our senior dentist team, we are pleased to present this detailed</w:t>
      </w:r>
      <w:r>
        <w:t xml:space="preserve"> </w:t>
      </w:r>
      <w:r>
        <w:rPr>
          <w:bCs/>
          <w:b/>
        </w:rPr>
        <w:t xml:space="preserve">Quotation Estimate</w:t>
      </w:r>
      <w:r>
        <w:t xml:space="preserve"> </w:t>
      </w:r>
      <w:r>
        <w:t xml:space="preserve">for the recommended dental treatment plan. This Quotation Estimate reflects the full scope of services, materials, and professional fees required to restore and maintain optimal oral health.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Dental Procedure / Service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Comprehensive Dental Examination &amp; Digital OPG</w:t>
            </w:r>
          </w:p>
        </w:tc>
        <w:tc>
          <w:tcPr/>
          <w:p>
            <w:pPr>
              <w:pStyle w:val="Compact"/>
              <w:jc w:val="left"/>
            </w:pPr>
            <w:r>
              <w:t xml:space="preserve">Full clinical assessment, digital panoramic X-ray, and treatment planning by a specialist dentist in Islamabad</w:t>
            </w:r>
          </w:p>
        </w:tc>
        <w:tc>
          <w:tcPr/>
          <w:p>
            <w:pPr>
              <w:pStyle w:val="Compact"/>
              <w:jc w:val="left"/>
            </w:pPr>
            <w:r>
              <w:t xml:space="preserve">1</w:t>
            </w:r>
          </w:p>
        </w:tc>
        <w:tc>
          <w:tcPr/>
          <w:p>
            <w:pPr>
              <w:pStyle w:val="Compact"/>
              <w:jc w:val="left"/>
            </w:pPr>
            <w:r>
              <w:t xml:space="preserve">PKR 3,500</w:t>
            </w:r>
          </w:p>
        </w:tc>
        <w:tc>
          <w:tcPr/>
          <w:p>
            <w:pPr>
              <w:pStyle w:val="Compact"/>
              <w:jc w:val="left"/>
            </w:pPr>
            <w:r>
              <w:t xml:space="preserve">PKR 3,500</w:t>
            </w:r>
          </w:p>
        </w:tc>
      </w:tr>
      <w:tr>
        <w:tc>
          <w:tcPr/>
          <w:p>
            <w:pPr>
              <w:pStyle w:val="Compact"/>
              <w:jc w:val="left"/>
            </w:pPr>
            <w:r>
              <w:t xml:space="preserve">2</w:t>
            </w:r>
          </w:p>
        </w:tc>
        <w:tc>
          <w:tcPr/>
          <w:p>
            <w:pPr>
              <w:pStyle w:val="Compact"/>
              <w:jc w:val="left"/>
            </w:pPr>
            <w:r>
              <w:t xml:space="preserve">Ultrasonic Scaling &amp; Polishing (Full Mouth)</w:t>
            </w:r>
          </w:p>
        </w:tc>
        <w:tc>
          <w:tcPr/>
          <w:p>
            <w:pPr>
              <w:pStyle w:val="Compact"/>
              <w:jc w:val="left"/>
            </w:pPr>
            <w:r>
              <w:t xml:space="preserve">Removal of calculus, tartar, and plaque from all 28 teeth; professional polishing with fluoride application</w:t>
            </w:r>
          </w:p>
        </w:tc>
        <w:tc>
          <w:tcPr/>
          <w:p>
            <w:pPr>
              <w:pStyle w:val="Compact"/>
              <w:jc w:val="left"/>
            </w:pPr>
            <w:r>
              <w:t xml:space="preserve">1</w:t>
            </w:r>
          </w:p>
        </w:tc>
        <w:tc>
          <w:tcPr/>
          <w:p>
            <w:pPr>
              <w:pStyle w:val="Compact"/>
              <w:jc w:val="left"/>
            </w:pPr>
            <w:r>
              <w:t xml:space="preserve">PKR 8,000</w:t>
            </w:r>
          </w:p>
        </w:tc>
        <w:tc>
          <w:tcPr/>
          <w:p>
            <w:pPr>
              <w:pStyle w:val="Compact"/>
              <w:jc w:val="left"/>
            </w:pPr>
            <w:r>
              <w:t xml:space="preserve">PKR 8,000</w:t>
            </w:r>
          </w:p>
        </w:tc>
      </w:tr>
      <w:tr>
        <w:tc>
          <w:tcPr/>
          <w:p>
            <w:pPr>
              <w:pStyle w:val="Compact"/>
              <w:jc w:val="left"/>
            </w:pPr>
            <w:r>
              <w:t xml:space="preserve">3</w:t>
            </w:r>
          </w:p>
        </w:tc>
        <w:tc>
          <w:tcPr/>
          <w:p>
            <w:pPr>
              <w:pStyle w:val="Compact"/>
              <w:jc w:val="left"/>
            </w:pPr>
            <w:r>
              <w:t xml:space="preserve">Root Canal Treatment (RCT) – Molar #36</w:t>
            </w:r>
          </w:p>
        </w:tc>
        <w:tc>
          <w:tcPr/>
          <w:p>
            <w:pPr>
              <w:pStyle w:val="Compact"/>
              <w:jc w:val="left"/>
            </w:pPr>
            <w:r>
              <w:t xml:space="preserve">Three-canal endodontic treatment including gutta-percha obturation, temporary restoration, and follow-up visit</w:t>
            </w:r>
          </w:p>
        </w:tc>
        <w:tc>
          <w:tcPr/>
          <w:p>
            <w:pPr>
              <w:pStyle w:val="Compact"/>
              <w:jc w:val="left"/>
            </w:pPr>
            <w:r>
              <w:t xml:space="preserve">1</w:t>
            </w:r>
          </w:p>
        </w:tc>
        <w:tc>
          <w:tcPr/>
          <w:p>
            <w:pPr>
              <w:pStyle w:val="Compact"/>
              <w:jc w:val="left"/>
            </w:pPr>
            <w:r>
              <w:t xml:space="preserve">PKR 25,000</w:t>
            </w:r>
          </w:p>
        </w:tc>
        <w:tc>
          <w:tcPr/>
          <w:p>
            <w:pPr>
              <w:pStyle w:val="Compact"/>
              <w:jc w:val="left"/>
            </w:pPr>
            <w:r>
              <w:t xml:space="preserve">PKR 25,000</w:t>
            </w:r>
          </w:p>
        </w:tc>
      </w:tr>
      <w:tr>
        <w:tc>
          <w:tcPr/>
          <w:p>
            <w:pPr>
              <w:pStyle w:val="Compact"/>
              <w:jc w:val="left"/>
            </w:pPr>
            <w:r>
              <w:t xml:space="preserve">4</w:t>
            </w:r>
          </w:p>
        </w:tc>
        <w:tc>
          <w:tcPr/>
          <w:p>
            <w:pPr>
              <w:pStyle w:val="Compact"/>
              <w:jc w:val="left"/>
            </w:pPr>
            <w:r>
              <w:t xml:space="preserve">Full Ceramic Crown (Zirconia) – Molar #36</w:t>
            </w:r>
          </w:p>
        </w:tc>
        <w:tc>
          <w:tcPr/>
          <w:p>
            <w:pPr>
              <w:pStyle w:val="Compact"/>
              <w:jc w:val="left"/>
            </w:pPr>
            <w:r>
              <w:t xml:space="preserve">Custom-fabricated zirconia crown, digital impression, try-in, and cementation by prosthodontist</w:t>
            </w:r>
          </w:p>
        </w:tc>
        <w:tc>
          <w:tcPr/>
          <w:p>
            <w:pPr>
              <w:pStyle w:val="Compact"/>
              <w:jc w:val="left"/>
            </w:pPr>
            <w:r>
              <w:t xml:space="preserve">1</w:t>
            </w:r>
          </w:p>
        </w:tc>
        <w:tc>
          <w:tcPr/>
          <w:p>
            <w:pPr>
              <w:pStyle w:val="Compact"/>
              <w:jc w:val="left"/>
            </w:pPr>
            <w:r>
              <w:t xml:space="preserve">PKR 45,000</w:t>
            </w:r>
          </w:p>
        </w:tc>
        <w:tc>
          <w:tcPr/>
          <w:p>
            <w:pPr>
              <w:pStyle w:val="Compact"/>
              <w:jc w:val="left"/>
            </w:pPr>
            <w:r>
              <w:t xml:space="preserve">PKR 45,000</w:t>
            </w:r>
          </w:p>
        </w:tc>
      </w:tr>
      <w:tr>
        <w:tc>
          <w:tcPr/>
          <w:p>
            <w:pPr>
              <w:pStyle w:val="Compact"/>
              <w:jc w:val="left"/>
            </w:pPr>
            <w:r>
              <w:t xml:space="preserve">5</w:t>
            </w:r>
          </w:p>
        </w:tc>
        <w:tc>
          <w:tcPr/>
          <w:p>
            <w:pPr>
              <w:pStyle w:val="Compact"/>
              <w:jc w:val="left"/>
            </w:pPr>
            <w:r>
              <w:t xml:space="preserve">Composite Resin Filling – Premolar #24</w:t>
            </w:r>
          </w:p>
        </w:tc>
        <w:tc>
          <w:tcPr/>
          <w:p>
            <w:pPr>
              <w:pStyle w:val="Compact"/>
              <w:jc w:val="left"/>
            </w:pPr>
            <w:r>
              <w:t xml:space="preserve">Multi-surface aesthetic composite restoration, shade-matched, light-cured</w:t>
            </w:r>
          </w:p>
        </w:tc>
        <w:tc>
          <w:tcPr/>
          <w:p>
            <w:pPr>
              <w:pStyle w:val="Compact"/>
              <w:jc w:val="left"/>
            </w:pPr>
            <w:r>
              <w:t xml:space="preserve">1</w:t>
            </w:r>
          </w:p>
        </w:tc>
        <w:tc>
          <w:tcPr/>
          <w:p>
            <w:pPr>
              <w:pStyle w:val="Compact"/>
              <w:jc w:val="left"/>
            </w:pPr>
            <w:r>
              <w:t xml:space="preserve">PKR 6,500</w:t>
            </w:r>
          </w:p>
        </w:tc>
        <w:tc>
          <w:tcPr/>
          <w:p>
            <w:pPr>
              <w:pStyle w:val="Compact"/>
              <w:jc w:val="left"/>
            </w:pPr>
            <w:r>
              <w:t xml:space="preserve">PKR 6,500</w:t>
            </w:r>
          </w:p>
        </w:tc>
      </w:tr>
      <w:tr>
        <w:tc>
          <w:tcPr/>
          <w:p>
            <w:pPr>
              <w:pStyle w:val="Compact"/>
              <w:jc w:val="left"/>
            </w:pPr>
            <w:r>
              <w:t xml:space="preserve">6</w:t>
            </w:r>
          </w:p>
        </w:tc>
        <w:tc>
          <w:tcPr/>
          <w:p>
            <w:pPr>
              <w:pStyle w:val="Compact"/>
              <w:jc w:val="left"/>
            </w:pPr>
            <w:r>
              <w:t xml:space="preserve">Extraction of Impacted Wisdom Tooth #48</w:t>
            </w:r>
          </w:p>
        </w:tc>
        <w:tc>
          <w:tcPr/>
          <w:p>
            <w:pPr>
              <w:pStyle w:val="Compact"/>
              <w:jc w:val="left"/>
            </w:pPr>
            <w:r>
              <w:t xml:space="preserve">Surgical extraction under local anaesthesia, suturing, post-operative instructions, and one follow-up visit</w:t>
            </w:r>
          </w:p>
        </w:tc>
        <w:tc>
          <w:tcPr/>
          <w:p>
            <w:pPr>
              <w:pStyle w:val="Compact"/>
              <w:jc w:val="left"/>
            </w:pPr>
            <w:r>
              <w:t xml:space="preserve">1</w:t>
            </w:r>
          </w:p>
        </w:tc>
        <w:tc>
          <w:tcPr/>
          <w:p>
            <w:pPr>
              <w:pStyle w:val="Compact"/>
              <w:jc w:val="left"/>
            </w:pPr>
            <w:r>
              <w:t xml:space="preserve">PKR 18,000</w:t>
            </w:r>
          </w:p>
        </w:tc>
        <w:tc>
          <w:tcPr/>
          <w:p>
            <w:pPr>
              <w:pStyle w:val="Compact"/>
              <w:jc w:val="left"/>
            </w:pPr>
            <w:r>
              <w:t xml:space="preserve">PKR 18,000</w:t>
            </w:r>
          </w:p>
        </w:tc>
      </w:tr>
      <w:tr>
        <w:tc>
          <w:tcPr/>
          <w:p>
            <w:pPr>
              <w:pStyle w:val="Compact"/>
              <w:jc w:val="left"/>
            </w:pPr>
            <w:r>
              <w:t xml:space="preserve">7</w:t>
            </w:r>
          </w:p>
        </w:tc>
        <w:tc>
          <w:tcPr/>
          <w:p>
            <w:pPr>
              <w:pStyle w:val="Compact"/>
              <w:jc w:val="left"/>
            </w:pPr>
            <w:r>
              <w:t xml:space="preserve">Periodontal Deep Cleaning (Scaling &amp; Root Planing) – 4 Quadrants</w:t>
            </w:r>
          </w:p>
        </w:tc>
        <w:tc>
          <w:tcPr/>
          <w:p>
            <w:pPr>
              <w:pStyle w:val="Compact"/>
              <w:jc w:val="left"/>
            </w:pPr>
            <w:r>
              <w:t xml:space="preserve">Subgingival debridement for moderate periodontitis, local anaesthesia included</w:t>
            </w:r>
          </w:p>
        </w:tc>
        <w:tc>
          <w:tcPr/>
          <w:p>
            <w:pPr>
              <w:pStyle w:val="Compact"/>
              <w:jc w:val="left"/>
            </w:pPr>
            <w:r>
              <w:t xml:space="preserve">4</w:t>
            </w:r>
          </w:p>
        </w:tc>
        <w:tc>
          <w:tcPr/>
          <w:p>
            <w:pPr>
              <w:pStyle w:val="Compact"/>
              <w:jc w:val="left"/>
            </w:pPr>
            <w:r>
              <w:t xml:space="preserve">PKR 5,500</w:t>
            </w:r>
          </w:p>
        </w:tc>
        <w:tc>
          <w:tcPr/>
          <w:p>
            <w:pPr>
              <w:pStyle w:val="Compact"/>
              <w:jc w:val="left"/>
            </w:pPr>
            <w:r>
              <w:t xml:space="preserve">PKR 22,000</w:t>
            </w:r>
          </w:p>
        </w:tc>
      </w:tr>
      <w:tr>
        <w:tc>
          <w:tcPr/>
          <w:p>
            <w:pPr>
              <w:pStyle w:val="Compact"/>
              <w:jc w:val="left"/>
            </w:pPr>
            <w:r>
              <w:t xml:space="preserve">8</w:t>
            </w:r>
          </w:p>
        </w:tc>
        <w:tc>
          <w:tcPr/>
          <w:p>
            <w:pPr>
              <w:pStyle w:val="Compact"/>
              <w:jc w:val="left"/>
            </w:pPr>
            <w:r>
              <w:t xml:space="preserve">Prophylaxis &amp; Fluvar Varnish Application</w:t>
            </w:r>
          </w:p>
        </w:tc>
        <w:tc>
          <w:tcPr/>
          <w:p>
            <w:pPr>
              <w:pStyle w:val="Compact"/>
              <w:jc w:val="left"/>
            </w:pPr>
            <w:r>
              <w:t xml:space="preserve">Post-treatment prophylaxis, fluoride varnish for enamel strengthening</w:t>
            </w:r>
          </w:p>
        </w:tc>
        <w:tc>
          <w:tcPr/>
          <w:p>
            <w:pPr>
              <w:pStyle w:val="Compact"/>
              <w:jc w:val="left"/>
            </w:pPr>
            <w:r>
              <w:t xml:space="preserve">1</w:t>
            </w:r>
          </w:p>
        </w:tc>
        <w:tc>
          <w:tcPr/>
          <w:p>
            <w:pPr>
              <w:pStyle w:val="Compact"/>
              <w:jc w:val="left"/>
            </w:pPr>
            <w:r>
              <w:t xml:space="preserve">PKR 2,500</w:t>
            </w:r>
          </w:p>
        </w:tc>
        <w:tc>
          <w:tcPr/>
          <w:p>
            <w:pPr>
              <w:pStyle w:val="Compact"/>
              <w:jc w:val="left"/>
            </w:pPr>
            <w:r>
              <w:t xml:space="preserve">PKR 2,500</w:t>
            </w:r>
          </w:p>
        </w:tc>
      </w:tr>
      <w:tr>
        <w:tc>
          <w:tcPr/>
          <w:p>
            <w:pPr>
              <w:pStyle w:val="Compact"/>
              <w:jc w:val="left"/>
            </w:pPr>
            <w:r>
              <w:t xml:space="preserve">9</w:t>
            </w:r>
          </w:p>
        </w:tc>
        <w:tc>
          <w:tcPr/>
          <w:p>
            <w:pPr>
              <w:pStyle w:val="Compact"/>
              <w:jc w:val="left"/>
            </w:pPr>
            <w:r>
              <w:t xml:space="preserve">Follow-Up Consultations (3 Visits)</w:t>
            </w:r>
          </w:p>
        </w:tc>
        <w:tc>
          <w:tcPr/>
          <w:p>
            <w:pPr>
              <w:pStyle w:val="Compact"/>
              <w:jc w:val="left"/>
            </w:pPr>
            <w:r>
              <w:t xml:space="preserve">Post-RCT check, crown adjustment, and post-extraction healing review</w:t>
            </w:r>
          </w:p>
        </w:tc>
        <w:tc>
          <w:tcPr/>
          <w:p>
            <w:pPr>
              <w:pStyle w:val="Compact"/>
              <w:jc w:val="left"/>
            </w:pPr>
            <w:r>
              <w:t xml:space="preserve">3</w:t>
            </w:r>
          </w:p>
        </w:tc>
        <w:tc>
          <w:tcPr/>
          <w:p>
            <w:pPr>
              <w:pStyle w:val="Compact"/>
              <w:jc w:val="left"/>
            </w:pPr>
            <w:r>
              <w:t xml:space="preserve">PKR 1,500</w:t>
            </w:r>
          </w:p>
        </w:tc>
        <w:tc>
          <w:tcPr/>
          <w:p>
            <w:pPr>
              <w:pStyle w:val="Compact"/>
              <w:jc w:val="left"/>
            </w:pPr>
            <w:r>
              <w:t xml:space="preserve">PKR 4,500</w:t>
            </w:r>
          </w:p>
        </w:tc>
      </w:tr>
      <w:tr>
        <w:tc>
          <w:tcPr/>
          <w:p>
            <w:pPr>
              <w:pStyle w:val="Compact"/>
              <w:jc w:val="left"/>
            </w:pPr>
            <w:r>
              <w:t xml:space="preserve">10</w:t>
            </w:r>
          </w:p>
        </w:tc>
        <w:tc>
          <w:tcPr/>
          <w:p>
            <w:pPr>
              <w:pStyle w:val="Compact"/>
              <w:jc w:val="left"/>
            </w:pPr>
            <w:r>
              <w:t xml:space="preserve">Prescribed Medications &amp; Post-Operative Kit</w:t>
            </w:r>
          </w:p>
        </w:tc>
        <w:tc>
          <w:tcPr/>
          <w:p>
            <w:pPr>
              <w:pStyle w:val="Compact"/>
              <w:jc w:val="left"/>
            </w:pPr>
            <w:r>
              <w:t xml:space="preserve">Antibiotics, analgesics, antiseptic mouthwash, and soft-bristle toothbrush</w:t>
            </w:r>
          </w:p>
        </w:tc>
        <w:tc>
          <w:tcPr/>
          <w:p>
            <w:pPr>
              <w:pStyle w:val="Compact"/>
              <w:jc w:val="left"/>
            </w:pPr>
            <w:r>
              <w:t xml:space="preserve">1</w:t>
            </w:r>
          </w:p>
        </w:tc>
        <w:tc>
          <w:tcPr/>
          <w:p>
            <w:pPr>
              <w:pStyle w:val="Compact"/>
              <w:jc w:val="left"/>
            </w:pPr>
            <w:r>
              <w:t xml:space="preserve">PKR 3,000</w:t>
            </w:r>
          </w:p>
        </w:tc>
        <w:tc>
          <w:tcPr/>
          <w:p>
            <w:pPr>
              <w:pStyle w:val="Compact"/>
              <w:jc w:val="left"/>
            </w:pPr>
            <w:r>
              <w:t xml:space="preserve">PKR 3,000</w:t>
            </w:r>
          </w:p>
        </w:tc>
      </w:tr>
      <w:tr>
        <w:tc>
          <w:tcPr>
            <w:gridSpan w:val="5"/>
          </w:tcPr>
          <w:p>
            <w:pPr>
              <w:pStyle w:val="Compact"/>
              <w:jc w:val="left"/>
            </w:pPr>
            <w:r>
              <w:t xml:space="preserve">GRAND TOTAL (Inclusive of all professional fees, materials, and GST @ 16%)</w:t>
            </w:r>
          </w:p>
        </w:tc>
        <w:tc>
          <w:tcPr/>
          <w:p>
            <w:pPr>
              <w:pStyle w:val="Compact"/>
              <w:jc w:val="left"/>
            </w:pPr>
            <w:r>
              <w:t xml:space="preserve">PKR 138,000</w:t>
            </w:r>
          </w:p>
        </w:tc>
      </w:tr>
    </w:tbl>
    <w:p>
      <w:pPr>
        <w:pStyle w:val="BodyText"/>
      </w:pPr>
      <w:r>
        <w:rPr>
          <w:bCs/>
          <w:b/>
        </w:rPr>
        <w:t xml:space="preserve">Note:</w:t>
      </w:r>
      <w:r>
        <w:t xml:space="preserve"> </w:t>
      </w:r>
      <w:r>
        <w:t xml:space="preserve">This Quotation Estimate is specific to the dental treatment plan discussed during your consultation at our Islamabad, Pakistan clinic. Prices are quoted in Pakistani Rupees (PKR) and include all applicable taxes as per the Federal Board of Revenue (FBR) regulations. Any additional procedures identified during treatment will be communicated and separately quoted before commencement.</w:t>
      </w:r>
    </w:p>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a period of</w:t>
      </w:r>
      <w:r>
        <w:t xml:space="preserve"> </w:t>
      </w:r>
      <w:r>
        <w:rPr>
          <w:bCs/>
          <w:b/>
        </w:rPr>
        <w:t xml:space="preserve">30 days</w:t>
      </w:r>
      <w:r>
        <w:t xml:space="preserve"> </w:t>
      </w:r>
      <w:r>
        <w:t xml:space="preserve">from the date of issue. After the expiry date, prices may be revised based on material costs and prevailing market rates in Islamabad, Pakistan.</w:t>
      </w:r>
    </w:p>
    <w:p>
      <w:pPr>
        <w:numPr>
          <w:ilvl w:val="0"/>
          <w:numId w:val="1001"/>
        </w:numPr>
        <w:pStyle w:val="Compact"/>
      </w:pPr>
      <w:r>
        <w:t xml:space="preserve">A</w:t>
      </w:r>
      <w:r>
        <w:t xml:space="preserve"> </w:t>
      </w:r>
      <w:r>
        <w:rPr>
          <w:bCs/>
          <w:b/>
        </w:rPr>
        <w:t xml:space="preserve">50% advance payment</w:t>
      </w:r>
      <w:r>
        <w:t xml:space="preserve"> </w:t>
      </w:r>
      <w:r>
        <w:t xml:space="preserve">(PKR 69,000) is required to confirm the appointment and reserve the treatment schedule. The remaining balance is due upon completion of all procedures.</w:t>
      </w:r>
    </w:p>
    <w:p>
      <w:pPr>
        <w:numPr>
          <w:ilvl w:val="0"/>
          <w:numId w:val="1001"/>
        </w:numPr>
        <w:pStyle w:val="Compact"/>
      </w:pPr>
      <w:r>
        <w:t xml:space="preserve">All dental treatments will be performed by qualified and registered dentists holding valid licenses from the</w:t>
      </w:r>
      <w:r>
        <w:t xml:space="preserve"> </w:t>
      </w:r>
      <w:r>
        <w:rPr>
          <w:bCs/>
          <w:b/>
        </w:rPr>
        <w:t xml:space="preserve">Pakistan Dental Council (PDC)</w:t>
      </w:r>
      <w:r>
        <w:t xml:space="preserve"> </w:t>
      </w:r>
      <w:r>
        <w:t xml:space="preserve">and the</w:t>
      </w:r>
      <w:r>
        <w:t xml:space="preserve"> </w:t>
      </w:r>
      <w:r>
        <w:rPr>
          <w:bCs/>
          <w:b/>
        </w:rPr>
        <w:t xml:space="preserve">National Dental Commission (NDC)</w:t>
      </w:r>
      <w:r>
        <w:t xml:space="preserve">, Islamabad.</w:t>
      </w:r>
    </w:p>
    <w:p>
      <w:pPr>
        <w:numPr>
          <w:ilvl w:val="0"/>
          <w:numId w:val="1001"/>
        </w:numPr>
        <w:pStyle w:val="Compact"/>
      </w:pPr>
      <w:r>
        <w:t xml:space="preserve">The Quotation Estimate includes all standard materials, local anaesthesia, and digital imaging. Sedation or general anaesthesia, if required, will be quoted separately.</w:t>
      </w:r>
    </w:p>
    <w:p>
      <w:pPr>
        <w:numPr>
          <w:ilvl w:val="0"/>
          <w:numId w:val="1001"/>
        </w:numPr>
        <w:pStyle w:val="Compact"/>
      </w:pPr>
      <w:r>
        <w:t xml:space="preserve">Warranty: Ceramic crowns carry a</w:t>
      </w:r>
      <w:r>
        <w:t xml:space="preserve"> </w:t>
      </w:r>
      <w:r>
        <w:rPr>
          <w:bCs/>
          <w:b/>
        </w:rPr>
        <w:t xml:space="preserve">2-year warranty</w:t>
      </w:r>
      <w:r>
        <w:t xml:space="preserve"> </w:t>
      </w:r>
      <w:r>
        <w:t xml:space="preserve">against manufacturing defects. Root canal treatments carry a</w:t>
      </w:r>
      <w:r>
        <w:t xml:space="preserve"> </w:t>
      </w:r>
      <w:r>
        <w:rPr>
          <w:bCs/>
          <w:b/>
        </w:rPr>
        <w:t xml:space="preserve">1-year warranty</w:t>
      </w:r>
      <w:r>
        <w:t xml:space="preserve"> </w:t>
      </w:r>
      <w:r>
        <w:t xml:space="preserve">against re-infection under normal oral hygiene conditions.</w:t>
      </w:r>
    </w:p>
    <w:p>
      <w:pPr>
        <w:numPr>
          <w:ilvl w:val="0"/>
          <w:numId w:val="1001"/>
        </w:numPr>
        <w:pStyle w:val="Compact"/>
      </w:pPr>
      <w:r>
        <w:t xml:space="preserve">Payment may be made via bank transfer (Meezan Bank, HBL, or UBL – Islamabad branch), JazzCash, EasyPaisa, or cash at our clinic reception. A receipt will be issued for every transaction.</w:t>
      </w:r>
    </w:p>
    <w:p>
      <w:pPr>
        <w:numPr>
          <w:ilvl w:val="0"/>
          <w:numId w:val="1001"/>
        </w:numPr>
        <w:pStyle w:val="Compact"/>
      </w:pPr>
      <w:r>
        <w:t xml:space="preserve">The patient agrees to attend all scheduled follow-up appointments. Missed appointments may incur a rescheduling fee of PKR 1,000.</w:t>
      </w:r>
    </w:p>
    <w:p>
      <w:pPr>
        <w:numPr>
          <w:ilvl w:val="0"/>
          <w:numId w:val="1001"/>
        </w:numPr>
        <w:pStyle w:val="Compact"/>
      </w:pPr>
      <w:r>
        <w:t xml:space="preserve">This Quotation Estimate does not constitute a guarantee of specific aesthetic outcomes. The treating dentist will use best clinical judgment in accordance with the standards set by the Pakistan Dental Association.</w:t>
      </w:r>
    </w:p>
    <w:p>
      <w:pPr>
        <w:numPr>
          <w:ilvl w:val="0"/>
          <w:numId w:val="1001"/>
        </w:numPr>
        <w:pStyle w:val="Compact"/>
      </w:pPr>
      <w:r>
        <w:t xml:space="preserve">For any queries regarding this Quotation Estimate, please contact our Islamabad clinic at +92-51-227-4567 or visit us at Plot 42, Blue Area, Jinnah Avenue, Islamabad, Pakistan during working hours (Monday to Saturday, 9:00 AM – 8:00 PM).</w:t>
      </w:r>
    </w:p>
    <w:bookmarkEnd w:id="23"/>
    <w:p>
      <w:pPr>
        <w:pStyle w:val="FirstParagraph"/>
      </w:pPr>
      <w:r>
        <w:rPr>
          <w:bCs/>
          <w:b/>
        </w:rPr>
        <w:t xml:space="preserve">For Capital Dental Care &amp; Research Institute</w:t>
      </w:r>
      <w:r>
        <w:br/>
      </w:r>
      <w:r>
        <w:t xml:space="preserve">Dr. Ayesha Khan, BDS, MDS (Prosthodontics)</w:t>
      </w:r>
      <w:r>
        <w:br/>
      </w:r>
      <w:r>
        <w:t xml:space="preserve">Chief Dental Surgeon &amp; Director</w:t>
      </w:r>
      <w:r>
        <w:br/>
      </w:r>
      <w:r>
        <w:t xml:space="preserve">Islamabad, Pakistan</w:t>
      </w:r>
    </w:p>
    <w:p>
      <w:pPr>
        <w:pStyle w:val="BodyText"/>
      </w:pPr>
      <w:r>
        <w:rPr>
          <w:bCs/>
          <w:b/>
        </w:rPr>
        <w:t xml:space="preserve">Client Acknowledgement &amp; Acceptance</w:t>
      </w:r>
      <w:r>
        <w:br/>
      </w:r>
      <w:r>
        <w:t xml:space="preserve">Mr. Muhammad Imran Siddiqui</w:t>
      </w:r>
      <w:r>
        <w:br/>
      </w:r>
      <w:r>
        <w:t xml:space="preserve">Date: _______________</w:t>
      </w:r>
      <w:r>
        <w:br/>
      </w:r>
      <w:r>
        <w:t xml:space="preserve">Signature: _______________</w:t>
      </w:r>
    </w:p>
    <w:p>
      <w:pPr>
        <w:pStyle w:val="BodyText"/>
      </w:pPr>
      <w:r>
        <w:t xml:space="preserve">Capital Dental Care &amp; Research Institute | Blue Area, Islamabad, Pakistan | NDC License: NDC/ISB/2020/112</w:t>
      </w:r>
    </w:p>
    <w:p>
      <w:pPr>
        <w:pStyle w:val="BodyText"/>
      </w:pPr>
      <w:r>
        <w:t xml:space="preserve">This Quotation Estimate is generated electronically and is valid without a physical stamp.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Islamabad, Pakistan</dc:title>
  <dc:creator/>
  <dc:language>en</dc:language>
  <cp:keywords/>
  <dcterms:created xsi:type="dcterms:W3CDTF">2026-10-10T04:20:20Z</dcterms:created>
  <dcterms:modified xsi:type="dcterms:W3CDTF">2026-10-10T04:20:20Z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