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Dietitian</w:t>
      </w:r>
      <w:r>
        <w:t xml:space="preserve"> </w:t>
      </w:r>
      <w:r>
        <w:t xml:space="preserve">Services</w:t>
      </w:r>
      <w:r>
        <w:t xml:space="preserve"> </w:t>
      </w:r>
      <w:r>
        <w:t xml:space="preserve">-</w:t>
      </w:r>
      <w:r>
        <w:t xml:space="preserve"> </w:t>
      </w:r>
      <w:r>
        <w:t xml:space="preserve">Kuwait</w:t>
      </w:r>
      <w:r>
        <w:t xml:space="preserve"> </w:t>
      </w:r>
      <w:r>
        <w:t xml:space="preserve">Kuwait</w:t>
      </w:r>
      <w:r>
        <w:t xml:space="preserve"> </w:t>
      </w:r>
      <w:r>
        <w:t xml:space="preserve">City</w:t>
      </w:r>
    </w:p>
    <w:bookmarkStart w:id="20" w:name="nutrilife-kuwait-city"/>
    <w:p>
      <w:pPr>
        <w:pStyle w:val="Heading1"/>
      </w:pPr>
      <w:r>
        <w:t xml:space="preserve">NutriLife Kuwait City</w:t>
      </w:r>
    </w:p>
    <w:p>
      <w:pPr>
        <w:pStyle w:val="FirstParagraph"/>
      </w:pPr>
      <w:r>
        <w:t xml:space="preserve">Professional Dietitian &amp; Nutrition Consulting Services</w:t>
      </w:r>
    </w:p>
    <w:p>
      <w:pPr>
        <w:pStyle w:val="BodyText"/>
      </w:pPr>
      <w:r>
        <w:t xml:space="preserve">Al Salmiya Medical District, Kuwait City, State of Kuwait</w:t>
      </w:r>
    </w:p>
    <w:p>
      <w:pPr>
        <w:pStyle w:val="BodyText"/>
      </w:pPr>
      <w:r>
        <w:t xml:space="preserve">Tel: +965-2244-7890 | Email: info@nutrilife-kw.com</w:t>
      </w:r>
    </w:p>
    <w:p>
      <w:pPr>
        <w:pStyle w:val="BodyText"/>
      </w:pPr>
      <w:r>
        <w:t xml:space="preserve">Commercial Registration No. 184729 | Ministry of Health License: DH-2024-0387</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QTE-2025-KW-0412</w:t>
      </w:r>
    </w:p>
    <w:p>
      <w:pPr>
        <w:pStyle w:val="BodyText"/>
      </w:pPr>
      <w:r>
        <w:rPr>
          <w:bCs/>
          <w:b/>
        </w:rPr>
        <w:t xml:space="preserve">Date Issued:</w:t>
      </w:r>
      <w:r>
        <w:t xml:space="preserve"> </w:t>
      </w:r>
      <w:r>
        <w:t xml:space="preserve">14 June 2025</w:t>
      </w:r>
    </w:p>
    <w:p>
      <w:pPr>
        <w:pStyle w:val="BodyText"/>
      </w:pPr>
      <w:r>
        <w:rPr>
          <w:bCs/>
          <w:b/>
        </w:rPr>
        <w:t xml:space="preserve">Valid Until:</w:t>
      </w:r>
      <w:r>
        <w:t xml:space="preserve"> </w:t>
      </w:r>
      <w:r>
        <w:t xml:space="preserve">14 July 2025 (30 days)</w:t>
      </w:r>
    </w:p>
    <w:p>
      <w:pPr>
        <w:pStyle w:val="BodyText"/>
      </w:pPr>
      <w:r>
        <w:rPr>
          <w:bCs/>
          <w:b/>
        </w:rPr>
        <w:t xml:space="preserve">Prepared By:</w:t>
      </w:r>
      <w:r>
        <w:t xml:space="preserve"> </w:t>
      </w:r>
      <w:r>
        <w:t xml:space="preserve">Dr. Layla Al-Harbi, Registered Dietitian</w:t>
      </w:r>
    </w:p>
    <w:p>
      <w:pPr>
        <w:pStyle w:val="BodyText"/>
      </w:pPr>
      <w:r>
        <w:t xml:space="preserve">Kuwait Kuwait City</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[Client / Organization Name]</w:t>
      </w:r>
    </w:p>
    <w:p>
      <w:pPr>
        <w:pStyle w:val="BodyText"/>
      </w:pPr>
      <w:r>
        <w:rPr>
          <w:bCs/>
          <w:b/>
        </w:rPr>
        <w:t xml:space="preserve">Address:</w:t>
      </w:r>
      <w:r>
        <w:t xml:space="preserve"> </w:t>
      </w:r>
      <w:r>
        <w:t xml:space="preserve">[Street, District], Kuwait City, Kuwait</w:t>
      </w:r>
    </w:p>
    <w:p>
      <w:pPr>
        <w:pStyle w:val="BodyText"/>
      </w:pPr>
      <w:r>
        <w:rPr>
          <w:bCs/>
          <w:b/>
        </w:rPr>
        <w:t xml:space="preserve">Contact Person:</w:t>
      </w:r>
      <w:r>
        <w:t xml:space="preserve"> </w:t>
      </w:r>
      <w:r>
        <w:t xml:space="preserve">[Name &amp; Title]</w:t>
      </w:r>
    </w:p>
    <w:p>
      <w:pPr>
        <w:pStyle w:val="BodyText"/>
      </w:pPr>
      <w:r>
        <w:rPr>
          <w:bCs/>
          <w:b/>
        </w:rPr>
        <w:t xml:space="preserve">Email:</w:t>
      </w:r>
      <w:r>
        <w:t xml:space="preserve"> </w:t>
      </w:r>
      <w:r>
        <w:t xml:space="preserve">[client@email.com]</w:t>
      </w:r>
    </w:p>
    <w:p>
      <w:pPr>
        <w:pStyle w:val="BodyText"/>
      </w:pPr>
      <w:r>
        <w:rPr>
          <w:bCs/>
          <w:b/>
        </w:rPr>
        <w:t xml:space="preserve">Phone:</w:t>
      </w:r>
      <w:r>
        <w:t xml:space="preserve"> </w:t>
      </w:r>
      <w:r>
        <w:t xml:space="preserve">+965-XXXX-XXXX</w:t>
      </w:r>
    </w:p>
    <w:bookmarkEnd w:id="22"/>
    <w:p>
      <w:pPr>
        <w:pStyle w:val="BodyText"/>
      </w:pPr>
      <w:r>
        <w:t xml:space="preserve">Dear Valued Client,</w:t>
      </w:r>
    </w:p>
    <w:p>
      <w:pPr>
        <w:pStyle w:val="BodyText"/>
      </w:pPr>
      <w:r>
        <w:t xml:space="preserve">Thank you for your interest in the professional Dietitian services offered by NutriLife Kuwait City. This Quotation Estimate has been carefully prepared to outline the scope of work, deliverables, and associated costs for the comprehensive nutritional consulting engagement you have requested. Our team of licensed Dietitian professionals in Kuwait Kuwait City is committed to delivering evidence-based, culturally sensitive, and personalized nutrition solutions tailored to the unique dietary needs of our clients in this region.</w:t>
      </w:r>
    </w:p>
    <w:p>
      <w:pPr>
        <w:pStyle w:val="BodyText"/>
      </w:pPr>
      <w:r>
        <w:t xml:space="preserve">Scope of Services – Dietitian Consultation Package</w:t>
      </w:r>
    </w:p>
    <w:p>
      <w:pPr>
        <w:pStyle w:val="BodyText"/>
      </w:pPr>
      <w:r>
        <w:t xml:space="preserve">The following Quotation Estimate covers a full-cycle Dietitian engagement that includes initial assessment, ongoing nutritional counseling, meal plan development, and follow-up monitoring. All services are delivered by a qualified Dietitian registered with the Kuwait Ministry of Health and the Kuwait Dietitians Association.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Duration / Frequency</w:t>
            </w:r>
          </w:p>
        </w:tc>
        <w:tc>
          <w:tcPr/>
          <w:p>
            <w:pPr>
              <w:pStyle w:val="Compact"/>
              <w:jc w:val="left"/>
            </w:pPr>
            <w:r>
              <w:t xml:space="preserve">Unit</w:t>
            </w:r>
          </w:p>
        </w:tc>
        <w:tc>
          <w:tcPr/>
          <w:p>
            <w:pPr>
              <w:pStyle w:val="Compact"/>
              <w:jc w:val="left"/>
            </w:pPr>
            <w:r>
              <w:t xml:space="preserve">Unit Price (KWD)</w:t>
            </w:r>
          </w:p>
        </w:tc>
        <w:tc>
          <w:tcPr/>
          <w:p>
            <w:pPr>
              <w:pStyle w:val="Compact"/>
              <w:jc w:val="left"/>
            </w:pPr>
            <w:r>
              <w:t xml:space="preserve">Total (KWD)</w:t>
            </w:r>
          </w:p>
        </w:tc>
      </w:tr>
      <w:tr>
        <w:tc>
          <w:tcPr/>
          <w:p>
            <w:pPr>
              <w:pStyle w:val="Compact"/>
              <w:jc w:val="left"/>
            </w:pPr>
            <w:r>
              <w:t xml:space="preserve">1</w:t>
            </w:r>
          </w:p>
        </w:tc>
        <w:tc>
          <w:tcPr/>
          <w:p>
            <w:pPr>
              <w:pStyle w:val="Compact"/>
              <w:jc w:val="left"/>
            </w:pPr>
            <w:r>
              <w:t xml:space="preserve">Initial Comprehensive Nutritional Assessment &amp; Medical History Review by a Senior Dietitian</w:t>
            </w:r>
          </w:p>
        </w:tc>
        <w:tc>
          <w:tcPr/>
          <w:p>
            <w:pPr>
              <w:pStyle w:val="Compact"/>
              <w:jc w:val="left"/>
            </w:pPr>
            <w:r>
              <w:t xml:space="preserve">90 minutes</w:t>
            </w:r>
          </w:p>
        </w:tc>
        <w:tc>
          <w:tcPr/>
          <w:p>
            <w:pPr>
              <w:pStyle w:val="Compact"/>
              <w:jc w:val="left"/>
            </w:pPr>
            <w:r>
              <w:t xml:space="preserve">1 session</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2</w:t>
            </w:r>
          </w:p>
        </w:tc>
        <w:tc>
          <w:tcPr/>
          <w:p>
            <w:pPr>
              <w:pStyle w:val="Compact"/>
              <w:jc w:val="left"/>
            </w:pPr>
            <w:r>
              <w:t xml:space="preserve">Personalized Meal Plan Development (aligned with Kuwaiti dietary culture and local food availability)</w:t>
            </w:r>
          </w:p>
        </w:tc>
        <w:tc>
          <w:tcPr/>
          <w:p>
            <w:pPr>
              <w:pStyle w:val="Compact"/>
              <w:jc w:val="left"/>
            </w:pPr>
            <w:r>
              <w:t xml:space="preserve">Deliverable</w:t>
            </w:r>
          </w:p>
        </w:tc>
        <w:tc>
          <w:tcPr/>
          <w:p>
            <w:pPr>
              <w:pStyle w:val="Compact"/>
              <w:jc w:val="left"/>
            </w:pPr>
            <w:r>
              <w:t xml:space="preserve">1 plan</w:t>
            </w:r>
          </w:p>
        </w:tc>
        <w:tc>
          <w:tcPr/>
          <w:p>
            <w:pPr>
              <w:pStyle w:val="Compact"/>
              <w:jc w:val="left"/>
            </w:pPr>
            <w:r>
              <w:t xml:space="preserve">50.000</w:t>
            </w:r>
          </w:p>
        </w:tc>
        <w:tc>
          <w:tcPr/>
          <w:p>
            <w:pPr>
              <w:pStyle w:val="Compact"/>
              <w:jc w:val="left"/>
            </w:pPr>
            <w:r>
              <w:t xml:space="preserve">50.000</w:t>
            </w:r>
          </w:p>
        </w:tc>
      </w:tr>
      <w:tr>
        <w:tc>
          <w:tcPr/>
          <w:p>
            <w:pPr>
              <w:pStyle w:val="Compact"/>
              <w:jc w:val="left"/>
            </w:pPr>
            <w:r>
              <w:t xml:space="preserve">3</w:t>
            </w:r>
          </w:p>
        </w:tc>
        <w:tc>
          <w:tcPr/>
          <w:p>
            <w:pPr>
              <w:pStyle w:val="Compact"/>
              <w:jc w:val="left"/>
            </w:pPr>
            <w:r>
              <w:t xml:space="preserve">Follow-up Dietitian Consultation Sessions (in-person at Kuwait City clinic or virtual)</w:t>
            </w:r>
          </w:p>
        </w:tc>
        <w:tc>
          <w:tcPr/>
          <w:p>
            <w:pPr>
              <w:pStyle w:val="Compact"/>
              <w:jc w:val="left"/>
            </w:pPr>
            <w:r>
              <w:t xml:space="preserve">60 min each</w:t>
            </w:r>
          </w:p>
        </w:tc>
        <w:tc>
          <w:tcPr/>
          <w:p>
            <w:pPr>
              <w:pStyle w:val="Compact"/>
              <w:jc w:val="left"/>
            </w:pPr>
            <w:r>
              <w:t xml:space="preserve">6 sessions</w:t>
            </w:r>
          </w:p>
        </w:tc>
        <w:tc>
          <w:tcPr/>
          <w:p>
            <w:pPr>
              <w:pStyle w:val="Compact"/>
              <w:jc w:val="left"/>
            </w:pPr>
            <w:r>
              <w:t xml:space="preserve">25.000</w:t>
            </w:r>
          </w:p>
        </w:tc>
        <w:tc>
          <w:tcPr/>
          <w:p>
            <w:pPr>
              <w:pStyle w:val="Compact"/>
              <w:jc w:val="left"/>
            </w:pPr>
            <w:r>
              <w:t xml:space="preserve">150.000</w:t>
            </w:r>
          </w:p>
        </w:tc>
      </w:tr>
      <w:tr>
        <w:tc>
          <w:tcPr/>
          <w:p>
            <w:pPr>
              <w:pStyle w:val="Compact"/>
              <w:jc w:val="left"/>
            </w:pPr>
            <w:r>
              <w:t xml:space="preserve">4</w:t>
            </w:r>
          </w:p>
        </w:tc>
        <w:tc>
          <w:tcPr/>
          <w:p>
            <w:pPr>
              <w:pStyle w:val="Compact"/>
              <w:jc w:val="left"/>
            </w:pPr>
            <w:r>
              <w:t xml:space="preserve">Biochemical &amp; Anthropometric Monitoring (BMI, body composition, blood work interpretation)</w:t>
            </w:r>
          </w:p>
        </w:tc>
        <w:tc>
          <w:tcPr/>
          <w:p>
            <w:pPr>
              <w:pStyle w:val="Compact"/>
              <w:jc w:val="left"/>
            </w:pPr>
            <w:r>
              <w:t xml:space="preserve">Per visit</w:t>
            </w:r>
          </w:p>
        </w:tc>
        <w:tc>
          <w:tcPr/>
          <w:p>
            <w:pPr>
              <w:pStyle w:val="Compact"/>
              <w:jc w:val="left"/>
            </w:pPr>
            <w:r>
              <w:t xml:space="preserve">3 visits</w:t>
            </w:r>
          </w:p>
        </w:tc>
        <w:tc>
          <w:tcPr/>
          <w:p>
            <w:pPr>
              <w:pStyle w:val="Compact"/>
              <w:jc w:val="left"/>
            </w:pPr>
            <w:r>
              <w:t xml:space="preserve">20.000</w:t>
            </w:r>
          </w:p>
        </w:tc>
        <w:tc>
          <w:tcPr/>
          <w:p>
            <w:pPr>
              <w:pStyle w:val="Compact"/>
              <w:jc w:val="left"/>
            </w:pPr>
            <w:r>
              <w:t xml:space="preserve">60.000</w:t>
            </w:r>
          </w:p>
        </w:tc>
      </w:tr>
      <w:tr>
        <w:tc>
          <w:tcPr/>
          <w:p>
            <w:pPr>
              <w:pStyle w:val="Compact"/>
              <w:jc w:val="left"/>
            </w:pPr>
            <w:r>
              <w:t xml:space="preserve">5</w:t>
            </w:r>
          </w:p>
        </w:tc>
        <w:tc>
          <w:tcPr/>
          <w:p>
            <w:pPr>
              <w:pStyle w:val="Compact"/>
              <w:jc w:val="left"/>
            </w:pPr>
            <w:r>
              <w:t xml:space="preserve">Weekly Nutritional Education Workshops (group setting, up to 15 participants)</w:t>
            </w:r>
          </w:p>
        </w:tc>
        <w:tc>
          <w:tcPr/>
          <w:p>
            <w:pPr>
              <w:pStyle w:val="Compact"/>
              <w:jc w:val="left"/>
            </w:pPr>
            <w:r>
              <w:t xml:space="preserve">90 min each</w:t>
            </w:r>
          </w:p>
        </w:tc>
        <w:tc>
          <w:tcPr/>
          <w:p>
            <w:pPr>
              <w:pStyle w:val="Compact"/>
              <w:jc w:val="left"/>
            </w:pPr>
            <w:r>
              <w:t xml:space="preserve">4 workshops</w:t>
            </w:r>
          </w:p>
        </w:tc>
        <w:tc>
          <w:tcPr/>
          <w:p>
            <w:pPr>
              <w:pStyle w:val="Compact"/>
              <w:jc w:val="left"/>
            </w:pPr>
            <w:r>
              <w:t xml:space="preserve">120.000</w:t>
            </w:r>
          </w:p>
        </w:tc>
        <w:tc>
          <w:tcPr/>
          <w:p>
            <w:pPr>
              <w:pStyle w:val="Compact"/>
              <w:jc w:val="left"/>
            </w:pPr>
            <w:r>
              <w:t xml:space="preserve">480.000</w:t>
            </w:r>
          </w:p>
        </w:tc>
      </w:tr>
      <w:tr>
        <w:tc>
          <w:tcPr/>
          <w:p>
            <w:pPr>
              <w:pStyle w:val="Compact"/>
              <w:jc w:val="left"/>
            </w:pPr>
            <w:r>
              <w:t xml:space="preserve">6</w:t>
            </w:r>
          </w:p>
        </w:tc>
        <w:tc>
          <w:tcPr/>
          <w:p>
            <w:pPr>
              <w:pStyle w:val="Compact"/>
              <w:jc w:val="left"/>
            </w:pPr>
            <w:r>
              <w:t xml:space="preserve">24/7 Digital Dietitian Support via Secure Messaging Platform</w:t>
            </w:r>
          </w:p>
        </w:tc>
        <w:tc>
          <w:tcPr/>
          <w:p>
            <w:pPr>
              <w:pStyle w:val="Compact"/>
              <w:jc w:val="left"/>
            </w:pPr>
            <w:r>
              <w:t xml:space="preserve">Continuous</w:t>
            </w:r>
          </w:p>
        </w:tc>
        <w:tc>
          <w:tcPr/>
          <w:p>
            <w:pPr>
              <w:pStyle w:val="Compact"/>
              <w:jc w:val="left"/>
            </w:pPr>
            <w:r>
              <w:t xml:space="preserve">3 months</w:t>
            </w:r>
          </w:p>
        </w:tc>
        <w:tc>
          <w:tcPr/>
          <w:p>
            <w:pPr>
              <w:pStyle w:val="Compact"/>
              <w:jc w:val="left"/>
            </w:pPr>
            <w:r>
              <w:t xml:space="preserve">45.000</w:t>
            </w:r>
          </w:p>
        </w:tc>
        <w:tc>
          <w:tcPr/>
          <w:p>
            <w:pPr>
              <w:pStyle w:val="Compact"/>
              <w:jc w:val="left"/>
            </w:pPr>
            <w:r>
              <w:t xml:space="preserve">135.000</w:t>
            </w:r>
          </w:p>
        </w:tc>
      </w:tr>
      <w:tr>
        <w:tc>
          <w:tcPr/>
          <w:p>
            <w:pPr>
              <w:pStyle w:val="Compact"/>
              <w:jc w:val="left"/>
            </w:pPr>
            <w:r>
              <w:t xml:space="preserve">7</w:t>
            </w:r>
          </w:p>
        </w:tc>
        <w:tc>
          <w:tcPr/>
          <w:p>
            <w:pPr>
              <w:pStyle w:val="Compact"/>
              <w:jc w:val="left"/>
            </w:pPr>
            <w:r>
              <w:t xml:space="preserve">Corporate Wellness Nutrition Audit &amp; Policy Recommendation Report</w:t>
            </w:r>
          </w:p>
        </w:tc>
        <w:tc>
          <w:tcPr/>
          <w:p>
            <w:pPr>
              <w:pStyle w:val="Compact"/>
              <w:jc w:val="left"/>
            </w:pPr>
            <w:r>
              <w:t xml:space="preserve">Deliverable</w:t>
            </w:r>
          </w:p>
        </w:tc>
        <w:tc>
          <w:tcPr/>
          <w:p>
            <w:pPr>
              <w:pStyle w:val="Compact"/>
              <w:jc w:val="left"/>
            </w:pPr>
            <w:r>
              <w:t xml:space="preserve">1 report</w:t>
            </w:r>
          </w:p>
        </w:tc>
        <w:tc>
          <w:tcPr/>
          <w:p>
            <w:pPr>
              <w:pStyle w:val="Compact"/>
              <w:jc w:val="left"/>
            </w:pPr>
            <w:r>
              <w:t xml:space="preserve">200.000</w:t>
            </w:r>
          </w:p>
        </w:tc>
        <w:tc>
          <w:tcPr/>
          <w:p>
            <w:pPr>
              <w:pStyle w:val="Compact"/>
              <w:jc w:val="left"/>
            </w:pPr>
            <w:r>
              <w:t xml:space="preserve">200.000</w:t>
            </w:r>
          </w:p>
        </w:tc>
      </w:tr>
      <w:tr>
        <w:tc>
          <w:tcPr/>
          <w:p>
            <w:pPr>
              <w:pStyle w:val="Compact"/>
              <w:jc w:val="left"/>
            </w:pPr>
            <w:r>
              <w:t xml:space="preserve">8</w:t>
            </w:r>
          </w:p>
        </w:tc>
        <w:tc>
          <w:tcPr/>
          <w:p>
            <w:pPr>
              <w:pStyle w:val="Compact"/>
              <w:jc w:val="left"/>
            </w:pPr>
            <w:r>
              <w:t xml:space="preserve">Specialized Dietary Management (diabetic, renal, cardiac, or weight-management protocols)</w:t>
            </w:r>
          </w:p>
        </w:tc>
        <w:tc>
          <w:tcPr/>
          <w:p>
            <w:pPr>
              <w:pStyle w:val="Compact"/>
              <w:jc w:val="left"/>
            </w:pPr>
            <w:r>
              <w:t xml:space="preserve">As required</w:t>
            </w:r>
          </w:p>
        </w:tc>
        <w:tc>
          <w:tcPr/>
          <w:p>
            <w:pPr>
              <w:pStyle w:val="Compact"/>
              <w:jc w:val="left"/>
            </w:pPr>
            <w:r>
              <w:t xml:space="preserve">4 sessions</w:t>
            </w:r>
          </w:p>
        </w:tc>
        <w:tc>
          <w:tcPr/>
          <w:p>
            <w:pPr>
              <w:pStyle w:val="Compact"/>
              <w:jc w:val="left"/>
            </w:pPr>
            <w:r>
              <w:t xml:space="preserve">30.000</w:t>
            </w:r>
          </w:p>
        </w:tc>
        <w:tc>
          <w:tcPr/>
          <w:p>
            <w:pPr>
              <w:pStyle w:val="Compact"/>
              <w:jc w:val="left"/>
            </w:pPr>
            <w:r>
              <w:t xml:space="preserve">120.000</w:t>
            </w:r>
          </w:p>
        </w:tc>
      </w:tr>
      <w:tr>
        <w:tc>
          <w:tcPr>
            <w:gridSpan w:val="5"/>
          </w:tcPr>
          <w:p>
            <w:pPr>
              <w:pStyle w:val="Compact"/>
              <w:jc w:val="right"/>
            </w:pPr>
            <w:r>
              <w:t xml:space="preserve">Subtotal</w:t>
            </w:r>
          </w:p>
        </w:tc>
        <w:tc>
          <w:tcPr/>
          <w:p>
            <w:pPr>
              <w:pStyle w:val="Compact"/>
              <w:jc w:val="left"/>
            </w:pPr>
            <w:r>
              <w:t xml:space="preserve">1,230.000</w:t>
            </w:r>
          </w:p>
        </w:tc>
      </w:tr>
      <w:tr>
        <w:tc>
          <w:tcPr>
            <w:gridSpan w:val="5"/>
          </w:tcPr>
          <w:p>
            <w:pPr>
              <w:pStyle w:val="Compact"/>
              <w:jc w:val="right"/>
            </w:pPr>
            <w:r>
              <w:t xml:space="preserve">VAT (5% – Kuwait Value Added Tax)</w:t>
            </w:r>
          </w:p>
        </w:tc>
        <w:tc>
          <w:tcPr/>
          <w:p>
            <w:pPr>
              <w:pStyle w:val="Compact"/>
              <w:jc w:val="left"/>
            </w:pPr>
            <w:r>
              <w:t xml:space="preserve">61.500</w:t>
            </w:r>
          </w:p>
        </w:tc>
      </w:tr>
      <w:tr>
        <w:tc>
          <w:tcPr>
            <w:gridSpan w:val="5"/>
          </w:tcPr>
          <w:p>
            <w:pPr>
              <w:pStyle w:val="Compact"/>
              <w:jc w:val="right"/>
            </w:pPr>
            <w:r>
              <w:t xml:space="preserve">Grand Total (KWD)</w:t>
            </w:r>
          </w:p>
        </w:tc>
        <w:tc>
          <w:tcPr/>
          <w:p>
            <w:pPr>
              <w:pStyle w:val="Compact"/>
              <w:jc w:val="left"/>
            </w:pPr>
            <w:r>
              <w:t xml:space="preserve">1,291.500</w:t>
            </w:r>
          </w:p>
        </w:tc>
      </w:tr>
    </w:tbl>
    <w:p>
      <w:pPr>
        <w:pStyle w:val="BodyText"/>
      </w:pPr>
      <w:r>
        <w:t xml:space="preserve">Terms &amp; Conditions of This Quotation Estimate</w:t>
      </w:r>
    </w:p>
    <w:p>
      <w:pPr>
        <w:numPr>
          <w:ilvl w:val="0"/>
          <w:numId w:val="1001"/>
        </w:numPr>
        <w:pStyle w:val="Compact"/>
      </w:pPr>
      <w:r>
        <w:rPr>
          <w:bCs/>
          <w:b/>
        </w:rPr>
        <w:t xml:space="preserve">Validity:</w:t>
      </w:r>
      <w:r>
        <w:t xml:space="preserve"> </w:t>
      </w:r>
      <w:r>
        <w:t xml:space="preserve">This Quotation Estimate is valid for thirty (30) calendar days from the date of issue. Any request for services beyond this period will require a revised Quotation Estimate from our Dietitian team in Kuwait Kuwait City.</w:t>
      </w:r>
    </w:p>
    <w:p>
      <w:pPr>
        <w:numPr>
          <w:ilvl w:val="0"/>
          <w:numId w:val="1001"/>
        </w:numPr>
        <w:pStyle w:val="Compact"/>
      </w:pPr>
      <w:r>
        <w:rPr>
          <w:bCs/>
          <w:b/>
        </w:rPr>
        <w:t xml:space="preserve">Payment Terms:</w:t>
      </w:r>
      <w:r>
        <w:t xml:space="preserve"> </w:t>
      </w:r>
      <w:r>
        <w:t xml:space="preserve">A 40% advance payment is due upon acceptance of this Quotation Estimate. The remaining 60% shall be payable in two equal monthly installments over the engagement period. All payments are to be made in Kuwaiti Dinars (KWD) via bank transfer to our designated account.</w:t>
      </w:r>
    </w:p>
    <w:p>
      <w:pPr>
        <w:numPr>
          <w:ilvl w:val="0"/>
          <w:numId w:val="1001"/>
        </w:numPr>
        <w:pStyle w:val="Compact"/>
      </w:pPr>
      <w:r>
        <w:rPr>
          <w:bCs/>
          <w:b/>
        </w:rPr>
        <w:t xml:space="preserve">Scope Limitations:</w:t>
      </w:r>
      <w:r>
        <w:t xml:space="preserve"> </w:t>
      </w:r>
      <w:r>
        <w:t xml:space="preserve">The services described herein are provided by a licensed Dietitian and do not constitute medical diagnosis or prescription. In cases where a client requires physician referral, the Dietitian will coordinate with the treating doctor at no additional cost to the client.</w:t>
      </w:r>
    </w:p>
    <w:p>
      <w:pPr>
        <w:numPr>
          <w:ilvl w:val="0"/>
          <w:numId w:val="1001"/>
        </w:numPr>
        <w:pStyle w:val="Compact"/>
      </w:pPr>
      <w:r>
        <w:rPr>
          <w:bCs/>
          <w:b/>
        </w:rPr>
        <w:t xml:space="preserve">Cancellation Policy:</w:t>
      </w:r>
      <w:r>
        <w:t xml:space="preserve"> </w:t>
      </w:r>
      <w:r>
        <w:t xml:space="preserve">Cancellations of scheduled Dietitian sessions must be communicated at least 24 hours in advance. Late cancellations or no-shows will be charged at 50% of the session fee.</w:t>
      </w:r>
    </w:p>
    <w:p>
      <w:pPr>
        <w:numPr>
          <w:ilvl w:val="0"/>
          <w:numId w:val="1001"/>
        </w:numPr>
        <w:pStyle w:val="Compact"/>
      </w:pPr>
      <w:r>
        <w:rPr>
          <w:bCs/>
          <w:b/>
        </w:rPr>
        <w:t xml:space="preserve">Confidentiality:</w:t>
      </w:r>
      <w:r>
        <w:t xml:space="preserve"> </w:t>
      </w:r>
      <w:r>
        <w:t xml:space="preserve">All client health data, nutritional records, and meal plans are treated with strict confidentiality in accordance with Kuwaiti data protection regulations and the professional code of ethics of the Kuwait Dietitians Association.</w:t>
      </w:r>
    </w:p>
    <w:p>
      <w:pPr>
        <w:numPr>
          <w:ilvl w:val="0"/>
          <w:numId w:val="1001"/>
        </w:numPr>
        <w:pStyle w:val="Compact"/>
      </w:pPr>
      <w:r>
        <w:rPr>
          <w:bCs/>
          <w:b/>
        </w:rPr>
        <w:t xml:space="preserve">Service Location:</w:t>
      </w:r>
      <w:r>
        <w:t xml:space="preserve"> </w:t>
      </w:r>
      <w:r>
        <w:t xml:space="preserve">All in-person Dietitian consultations and workshops will be conducted at our primary facility in Kuwait City, Kuwait, or at the client's designated premises within Kuwait City and its immediate districts, as mutually agreed upon.</w:t>
      </w:r>
    </w:p>
    <w:p>
      <w:pPr>
        <w:numPr>
          <w:ilvl w:val="0"/>
          <w:numId w:val="1001"/>
        </w:numPr>
        <w:pStyle w:val="Compact"/>
      </w:pPr>
      <w:r>
        <w:rPr>
          <w:bCs/>
          <w:b/>
        </w:rPr>
        <w:t xml:space="preserve">Force Majeure:</w:t>
      </w:r>
      <w:r>
        <w:t xml:space="preserve"> </w:t>
      </w:r>
      <w:r>
        <w:t xml:space="preserve">Neither party shall be liable for delays or non-performance resulting from events beyond reasonable control, including but not limited to government-mandated closures, public health emergencies, or natural disasters affecting Kuwait Kuwait City.</w:t>
      </w:r>
    </w:p>
    <w:p>
      <w:pPr>
        <w:numPr>
          <w:ilvl w:val="0"/>
          <w:numId w:val="1001"/>
        </w:numPr>
        <w:pStyle w:val="Compact"/>
      </w:pPr>
      <w:r>
        <w:rPr>
          <w:bCs/>
          <w:b/>
        </w:rPr>
        <w:t xml:space="preserve">Governing Law:</w:t>
      </w:r>
      <w:r>
        <w:t xml:space="preserve"> </w:t>
      </w:r>
      <w:r>
        <w:t xml:space="preserve">This Quotation Estimate and any resulting service agreement shall be governed by and construed in accordance with the laws of the State of Kuwait.</w:t>
      </w:r>
    </w:p>
    <w:p>
      <w:pPr>
        <w:pStyle w:val="FirstParagraph"/>
      </w:pPr>
      <w:r>
        <w:t xml:space="preserve">Acceptance &amp; Authorization</w:t>
      </w:r>
    </w:p>
    <w:p>
      <w:pPr>
        <w:pStyle w:val="BodyText"/>
      </w:pPr>
      <w:r>
        <w:t xml:space="preserve">By signing below, the client acknowledges receipt of this Quotation Estimate and agrees to the terms, conditions, and pricing outlined above for the Dietitian services to be provided in Kuwait Kuwait City. This document serves as a formal proposal and, upon countersignature by both parties, constitutes a binding service agreement.</w:t>
      </w:r>
    </w:p>
    <w:p>
      <w:pPr>
        <w:pStyle w:val="BodyText"/>
      </w:pPr>
      <w:r>
        <w:rPr>
          <w:bCs/>
          <w:b/>
        </w:rPr>
        <w:t xml:space="preserve">For NutriLife Kuwait City</w:t>
      </w:r>
    </w:p>
    <w:p>
      <w:pPr>
        <w:pStyle w:val="BodyText"/>
      </w:pPr>
      <w:r>
        <w:t xml:space="preserve">Dr. Layla Al-Harbi, Lead Dietitian</w:t>
      </w:r>
    </w:p>
    <w:p>
      <w:pPr>
        <w:pStyle w:val="BodyText"/>
      </w:pPr>
      <w:r>
        <w:t xml:space="preserve">Signature &amp; Date</w:t>
      </w:r>
    </w:p>
    <w:p>
      <w:pPr>
        <w:pStyle w:val="BodyText"/>
      </w:pPr>
      <w:r>
        <w:rPr>
          <w:bCs/>
          <w:b/>
        </w:rPr>
        <w:t xml:space="preserve">For the Client</w:t>
      </w:r>
    </w:p>
    <w:p>
      <w:pPr>
        <w:pStyle w:val="BodyText"/>
      </w:pPr>
      <w:r>
        <w:t xml:space="preserve">[Authorized Representative Name]</w:t>
      </w:r>
    </w:p>
    <w:p>
      <w:pPr>
        <w:pStyle w:val="BodyText"/>
      </w:pPr>
      <w:r>
        <w:t xml:space="preserve">Signature &amp; Date</w:t>
      </w:r>
    </w:p>
    <w:p>
      <w:pPr>
        <w:pStyle w:val="BodyText"/>
      </w:pPr>
      <w:r>
        <w:t xml:space="preserve">NutriLife Kuwait City | Al Salmiya Medical District, Kuwait City, State of Kuwait</w:t>
      </w:r>
    </w:p>
    <w:p>
      <w:pPr>
        <w:pStyle w:val="BodyText"/>
      </w:pPr>
      <w:r>
        <w:t xml:space="preserve">This Quotation Estimate is the property of NutriLife Kuwait City and is intended solely for the named client. Unauthorized reproduction or distribution is prohibited.</w:t>
      </w:r>
    </w:p>
    <w:p>
      <w:pPr>
        <w:pStyle w:val="BodyText"/>
      </w:pPr>
      <w:r>
        <w:t xml:space="preserve">Document Reference: QTE-2025-KW-0412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Dietitian Services - Kuwait Kuwait City</dc:title>
  <dc:creator/>
  <dc:language>en</dc:language>
  <cp:keywords/>
  <dcterms:created xsi:type="dcterms:W3CDTF">2026-10-10T08:35:35Z</dcterms:created>
  <dcterms:modified xsi:type="dcterms:W3CDTF">2026-10-10T08:35:35Z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