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t xml:space="preserve">Professional Dietitian Consultation &amp; Nutritional Services</w:t>
      </w:r>
    </w:p>
    <w:p>
      <w:pPr>
        <w:pStyle w:val="BodyText"/>
      </w:pPr>
      <w:r>
        <w:t xml:space="preserve">United Arab Emirates — Dubai</w:t>
      </w:r>
    </w:p>
    <w:bookmarkEnd w:id="20"/>
    <w:p>
      <w:pPr>
        <w:pStyle w:val="BodyText"/>
      </w:pPr>
      <w:r>
        <w:rPr>
          <w:bCs/>
          <w:b/>
        </w:rPr>
        <w:t xml:space="preserve">Provider:</w:t>
      </w:r>
      <w:r>
        <w:br/>
      </w:r>
      <w:r>
        <w:t xml:space="preserve">Wellness &amp; Nutrition Hub LLC</w:t>
      </w:r>
      <w:r>
        <w:br/>
      </w:r>
      <w:r>
        <w:t xml:space="preserve">Office 412, Level 4, Marina Plaza Tower</w:t>
      </w:r>
      <w:r>
        <w:br/>
      </w:r>
      <w:r>
        <w:t xml:space="preserve">Dubai Marina, United Arab Emirates</w:t>
      </w:r>
      <w:r>
        <w:br/>
      </w:r>
      <w:r>
        <w:t xml:space="preserve">Tel: +971 4 555 0192</w:t>
      </w:r>
      <w:r>
        <w:br/>
      </w:r>
      <w:r>
        <w:t xml:space="preserve">Email: quotes@wellnessnutritionhub.ae</w:t>
      </w:r>
      <w:r>
        <w:br/>
      </w:r>
      <w:r>
        <w:t xml:space="preserve">Trade License No: 1048723</w:t>
      </w:r>
    </w:p>
    <w:p>
      <w:pPr>
        <w:pStyle w:val="BodyText"/>
      </w:pPr>
      <w:r>
        <w:rPr>
          <w:bCs/>
          <w:b/>
        </w:rPr>
        <w:t xml:space="preserve">Prepared For:</w:t>
      </w:r>
      <w:r>
        <w:br/>
      </w:r>
      <w:r>
        <w:t xml:space="preserve">[Client Name / Organization]</w:t>
      </w:r>
      <w:r>
        <w:br/>
      </w:r>
      <w:r>
        <w:t xml:space="preserve">[Client Address]</w:t>
      </w:r>
      <w:r>
        <w:br/>
      </w:r>
      <w:r>
        <w:t xml:space="preserve">Dubai, United Arab Emirates</w:t>
      </w:r>
      <w:r>
        <w:br/>
      </w:r>
      <w:r>
        <w:t xml:space="preserve">Contact: [Client Phone]</w:t>
      </w:r>
      <w:r>
        <w:br/>
      </w:r>
      <w:r>
        <w:t xml:space="preserve">Email: [Client Email]</w:t>
      </w:r>
    </w:p>
    <w:p>
      <w:pPr>
        <w:pStyle w:val="BodyText"/>
      </w:pPr>
      <w:r>
        <w:rPr>
          <w:bCs/>
          <w:b/>
        </w:rPr>
        <w:t xml:space="preserve">Quotation Estimate No:</w:t>
      </w:r>
      <w:r>
        <w:t xml:space="preserve"> </w:t>
      </w:r>
      <w:r>
        <w:t xml:space="preserve">QTE-DXB-2025-0487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 (30 days)</w:t>
      </w:r>
    </w:p>
    <w:p>
      <w:pPr>
        <w:pStyle w:val="BodyText"/>
      </w:pPr>
      <w:r>
        <w:rPr>
          <w:bCs/>
          <w:b/>
        </w:rPr>
        <w:t xml:space="preserve">Service Category:</w:t>
      </w:r>
      <w:r>
        <w:t xml:space="preserve"> </w:t>
      </w:r>
      <w:r>
        <w:t xml:space="preserve">Dietitian &amp; Clinical Nutrition</w:t>
      </w:r>
      <w:r>
        <w:br/>
      </w:r>
      <w:r>
        <w:rPr>
          <w:bCs/>
          <w:b/>
        </w:rPr>
        <w:t xml:space="preserve">Service Location:</w:t>
      </w:r>
      <w:r>
        <w:t xml:space="preserve"> </w:t>
      </w:r>
      <w:r>
        <w:t xml:space="preserve">United Arab Emirates, Dubai</w:t>
      </w:r>
      <w:r>
        <w:br/>
      </w:r>
      <w:r>
        <w:rPr>
          <w:bCs/>
          <w:b/>
        </w:rPr>
        <w:t xml:space="preserve">Currency:</w:t>
      </w:r>
      <w:r>
        <w:t xml:space="preserve"> </w:t>
      </w:r>
      <w:r>
        <w:t xml:space="preserve">AED (UAE Dirham)</w:t>
      </w:r>
    </w:p>
    <w:bookmarkStart w:id="21" w:name="scope-of-services-dietitian-program"/>
    <w:p>
      <w:pPr>
        <w:pStyle w:val="Heading2"/>
      </w:pPr>
      <w:r>
        <w:t xml:space="preserve">1. Scope of Services — Dietitian Program</w:t>
      </w:r>
    </w:p>
    <w:p>
      <w:pPr>
        <w:pStyle w:val="FirstParagraph"/>
      </w:pPr>
      <w:r>
        <w:t xml:space="preserve">This</w:t>
      </w:r>
      <w:r>
        <w:t xml:space="preserve"> </w:t>
      </w:r>
      <w:r>
        <w:t xml:space="preserve">Quotation Estimate</w:t>
      </w:r>
      <w:r>
        <w:t xml:space="preserve"> </w:t>
      </w:r>
      <w:r>
        <w:t xml:space="preserve">is issued by Wellness &amp; Nutrition Hub LLC to provide a comprehensive, itemized breakdown of professional</w:t>
      </w:r>
      <w:r>
        <w:t xml:space="preserve"> </w:t>
      </w:r>
      <w:r>
        <w:t xml:space="preserve">Dietitian</w:t>
      </w:r>
      <w:r>
        <w:t xml:space="preserve"> </w:t>
      </w:r>
      <w:r>
        <w:t xml:space="preserve">services to be delivered within the</w:t>
      </w:r>
      <w:r>
        <w:t xml:space="preserve"> </w:t>
      </w:r>
      <w:r>
        <w:t xml:space="preserve">United Arab Emirates Dubai</w:t>
      </w:r>
      <w:r>
        <w:t xml:space="preserve"> </w:t>
      </w:r>
      <w:r>
        <w:t xml:space="preserve">metropolitan area. The proposed program encompasses individualized nutritional assessment, evidence-based dietary planning, ongoing monitoring, and lifestyle coaching tailored to the specific health objectives of the client. All services will be conducted in compliance with the regulatory standards set forth by the Dubai Health Authority (DHA) and the Ministry of Health and Prevention (MOHAP) of the United Arab Emirates.</w:t>
      </w:r>
    </w:p>
    <w:p>
      <w:pPr>
        <w:pStyle w:val="BodyText"/>
      </w:pPr>
      <w:r>
        <w:t xml:space="preserve">The</w:t>
      </w:r>
      <w:r>
        <w:t xml:space="preserve"> </w:t>
      </w:r>
      <w:r>
        <w:t xml:space="preserve">Dietitian</w:t>
      </w:r>
      <w:r>
        <w:t xml:space="preserve"> </w:t>
      </w:r>
      <w:r>
        <w:t xml:space="preserve">assigned to this engagement holds a Master's degree in Clinical Nutrition, is registered with the Dubai Health Authority, and possesses a minimum of eight (8) years of post-graduate experience in therapeutic nutrition, weight management, sports dietetics, and chronic disease dietary intervention. The practitioner is fluent in English and Arabic to ensure seamless communication with all stakeholders in the United Arab Emirates Dubai region.</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 / Frequency</w:t>
            </w:r>
          </w:p>
        </w:tc>
        <w:tc>
          <w:tcPr/>
          <w:p>
            <w:pPr>
              <w:pStyle w:val="Compact"/>
              <w:jc w:val="left"/>
            </w:pPr>
            <w:r>
              <w:t xml:space="preserve">Unit Rate (AED)</w:t>
            </w:r>
          </w:p>
        </w:tc>
        <w:tc>
          <w:tcPr/>
          <w:p>
            <w:pPr>
              <w:pStyle w:val="Compact"/>
              <w:jc w:val="left"/>
            </w:pPr>
            <w:r>
              <w:t xml:space="preserve">Quantity</w:t>
            </w:r>
          </w:p>
        </w:tc>
        <w:tc>
          <w:tcPr/>
          <w:p>
            <w:pPr>
              <w:pStyle w:val="Compact"/>
              <w:jc w:val="left"/>
            </w:pPr>
            <w:r>
              <w:t xml:space="preserve">Subtotal (AED)</w:t>
            </w:r>
          </w:p>
        </w:tc>
      </w:tr>
      <w:tr>
        <w:tc>
          <w:tcPr/>
          <w:p>
            <w:pPr>
              <w:pStyle w:val="Compact"/>
              <w:jc w:val="left"/>
            </w:pPr>
            <w:r>
              <w:t xml:space="preserve">1</w:t>
            </w:r>
          </w:p>
        </w:tc>
        <w:tc>
          <w:tcPr/>
          <w:p>
            <w:pPr>
              <w:pStyle w:val="Compact"/>
              <w:jc w:val="left"/>
            </w:pPr>
            <w:r>
              <w:t xml:space="preserve">Initial Comprehensive Nutritional Assessment &amp; Body Composition Analysis (DEXA Scan included)</w:t>
            </w:r>
          </w:p>
        </w:tc>
        <w:tc>
          <w:tcPr/>
          <w:p>
            <w:pPr>
              <w:pStyle w:val="Compact"/>
              <w:jc w:val="left"/>
            </w:pPr>
            <w:r>
              <w:t xml:space="preserve">One-time (2.5 hrs)</w:t>
            </w:r>
          </w:p>
        </w:tc>
        <w:tc>
          <w:tcPr/>
          <w:p>
            <w:pPr>
              <w:pStyle w:val="Compact"/>
              <w:jc w:val="left"/>
            </w:pPr>
            <w:r>
              <w:t xml:space="preserve">1,200</w:t>
            </w:r>
          </w:p>
        </w:tc>
        <w:tc>
          <w:tcPr/>
          <w:p>
            <w:pPr>
              <w:pStyle w:val="Compact"/>
              <w:jc w:val="left"/>
            </w:pPr>
            <w:r>
              <w:t xml:space="preserve">1</w:t>
            </w:r>
          </w:p>
        </w:tc>
        <w:tc>
          <w:tcPr/>
          <w:p>
            <w:pPr>
              <w:pStyle w:val="Compact"/>
              <w:jc w:val="left"/>
            </w:pPr>
            <w:r>
              <w:t xml:space="preserve">1,200</w:t>
            </w:r>
          </w:p>
        </w:tc>
      </w:tr>
      <w:tr>
        <w:tc>
          <w:tcPr/>
          <w:p>
            <w:pPr>
              <w:pStyle w:val="Compact"/>
              <w:jc w:val="left"/>
            </w:pPr>
            <w:r>
              <w:t xml:space="preserve">2</w:t>
            </w:r>
          </w:p>
        </w:tc>
        <w:tc>
          <w:tcPr/>
          <w:p>
            <w:pPr>
              <w:pStyle w:val="Compact"/>
              <w:jc w:val="left"/>
            </w:pPr>
            <w:r>
              <w:t xml:space="preserve">Personalized Diet Plan Development (including culturally adapted UAE meal plans, halal-compliant options, and local ingredient sourcing)</w:t>
            </w:r>
          </w:p>
        </w:tc>
        <w:tc>
          <w:tcPr/>
          <w:p>
            <w:pPr>
              <w:pStyle w:val="Compact"/>
              <w:jc w:val="left"/>
            </w:pPr>
            <w:r>
              <w:t xml:space="preserve">One-time (3 hrs)</w:t>
            </w:r>
          </w:p>
        </w:tc>
        <w:tc>
          <w:tcPr/>
          <w:p>
            <w:pPr>
              <w:pStyle w:val="Compact"/>
              <w:jc w:val="left"/>
            </w:pPr>
            <w:r>
              <w:t xml:space="preserve">1,800</w:t>
            </w:r>
          </w:p>
        </w:tc>
        <w:tc>
          <w:tcPr/>
          <w:p>
            <w:pPr>
              <w:pStyle w:val="Compact"/>
              <w:jc w:val="left"/>
            </w:pPr>
            <w:r>
              <w:t xml:space="preserve">1</w:t>
            </w:r>
          </w:p>
        </w:tc>
        <w:tc>
          <w:tcPr/>
          <w:p>
            <w:pPr>
              <w:pStyle w:val="Compact"/>
              <w:jc w:val="left"/>
            </w:pPr>
            <w:r>
              <w:t xml:space="preserve">1,800</w:t>
            </w:r>
          </w:p>
        </w:tc>
      </w:tr>
      <w:tr>
        <w:tc>
          <w:tcPr/>
          <w:p>
            <w:pPr>
              <w:pStyle w:val="Compact"/>
              <w:jc w:val="left"/>
            </w:pPr>
            <w:r>
              <w:t xml:space="preserve">3</w:t>
            </w:r>
          </w:p>
        </w:tc>
        <w:tc>
          <w:tcPr/>
          <w:p>
            <w:pPr>
              <w:pStyle w:val="Compact"/>
              <w:jc w:val="left"/>
            </w:pPr>
            <w:r>
              <w:t xml:space="preserve">Follow-up Consultation Sessions with the Dietitian (in-person at Dubai Marina office or via secure telehealth platform)</w:t>
            </w:r>
          </w:p>
        </w:tc>
        <w:tc>
          <w:tcPr/>
          <w:p>
            <w:pPr>
              <w:pStyle w:val="Compact"/>
              <w:jc w:val="left"/>
            </w:pPr>
            <w:r>
              <w:t xml:space="preserve">Weekly (1 hr each)</w:t>
            </w:r>
          </w:p>
        </w:tc>
        <w:tc>
          <w:tcPr/>
          <w:p>
            <w:pPr>
              <w:pStyle w:val="Compact"/>
              <w:jc w:val="left"/>
            </w:pPr>
            <w:r>
              <w:t xml:space="preserve">450</w:t>
            </w:r>
          </w:p>
        </w:tc>
        <w:tc>
          <w:tcPr/>
          <w:p>
            <w:pPr>
              <w:pStyle w:val="Compact"/>
              <w:jc w:val="left"/>
            </w:pPr>
            <w:r>
              <w:t xml:space="preserve">12</w:t>
            </w:r>
          </w:p>
        </w:tc>
        <w:tc>
          <w:tcPr/>
          <w:p>
            <w:pPr>
              <w:pStyle w:val="Compact"/>
              <w:jc w:val="left"/>
            </w:pPr>
            <w:r>
              <w:t xml:space="preserve">5,400</w:t>
            </w:r>
          </w:p>
        </w:tc>
      </w:tr>
      <w:tr>
        <w:tc>
          <w:tcPr/>
          <w:p>
            <w:pPr>
              <w:pStyle w:val="Compact"/>
              <w:jc w:val="left"/>
            </w:pPr>
            <w:r>
              <w:t xml:space="preserve">4</w:t>
            </w:r>
          </w:p>
        </w:tc>
        <w:tc>
          <w:tcPr/>
          <w:p>
            <w:pPr>
              <w:pStyle w:val="Compact"/>
              <w:jc w:val="left"/>
            </w:pPr>
            <w:r>
              <w:t xml:space="preserve">Monthly Blood Work Interpretation &amp; Nutritional Adjustment (in coordination with client's primary physician in United Arab Emirates Dubai)</w:t>
            </w:r>
          </w:p>
        </w:tc>
        <w:tc>
          <w:tcPr/>
          <w:p>
            <w:pPr>
              <w:pStyle w:val="Compact"/>
              <w:jc w:val="left"/>
            </w:pPr>
            <w:r>
              <w:t xml:space="preserve">Monthly (1 hr each)</w:t>
            </w:r>
          </w:p>
        </w:tc>
        <w:tc>
          <w:tcPr/>
          <w:p>
            <w:pPr>
              <w:pStyle w:val="Compact"/>
              <w:jc w:val="left"/>
            </w:pPr>
            <w:r>
              <w:t xml:space="preserve">600</w:t>
            </w:r>
          </w:p>
        </w:tc>
        <w:tc>
          <w:tcPr/>
          <w:p>
            <w:pPr>
              <w:pStyle w:val="Compact"/>
              <w:jc w:val="left"/>
            </w:pPr>
            <w:r>
              <w:t xml:space="preserve">3</w:t>
            </w:r>
          </w:p>
        </w:tc>
        <w:tc>
          <w:tcPr/>
          <w:p>
            <w:pPr>
              <w:pStyle w:val="Compact"/>
              <w:jc w:val="left"/>
            </w:pPr>
            <w:r>
              <w:t xml:space="preserve">1,800</w:t>
            </w:r>
          </w:p>
        </w:tc>
      </w:tr>
      <w:tr>
        <w:tc>
          <w:tcPr/>
          <w:p>
            <w:pPr>
              <w:pStyle w:val="Compact"/>
              <w:jc w:val="left"/>
            </w:pPr>
            <w:r>
              <w:t xml:space="preserve">5</w:t>
            </w:r>
          </w:p>
        </w:tc>
        <w:tc>
          <w:tcPr/>
          <w:p>
            <w:pPr>
              <w:pStyle w:val="Compact"/>
              <w:jc w:val="left"/>
            </w:pPr>
            <w:r>
              <w:t xml:space="preserve">Digital Nutrition App Access &amp; 24/7 Dietitian Chat Support (branded for client organization)</w:t>
            </w:r>
          </w:p>
        </w:tc>
        <w:tc>
          <w:tcPr/>
          <w:p>
            <w:pPr>
              <w:pStyle w:val="Compact"/>
              <w:jc w:val="left"/>
            </w:pPr>
            <w:r>
              <w:t xml:space="preserve">3-month subscription</w:t>
            </w:r>
          </w:p>
        </w:tc>
        <w:tc>
          <w:tcPr/>
          <w:p>
            <w:pPr>
              <w:pStyle w:val="Compact"/>
              <w:jc w:val="left"/>
            </w:pPr>
            <w:r>
              <w:t xml:space="preserve">350</w:t>
            </w:r>
          </w:p>
        </w:tc>
        <w:tc>
          <w:tcPr/>
          <w:p>
            <w:pPr>
              <w:pStyle w:val="Compact"/>
              <w:jc w:val="left"/>
            </w:pPr>
            <w:r>
              <w:t xml:space="preserve">3</w:t>
            </w:r>
          </w:p>
        </w:tc>
        <w:tc>
          <w:tcPr/>
          <w:p>
            <w:pPr>
              <w:pStyle w:val="Compact"/>
              <w:jc w:val="left"/>
            </w:pPr>
            <w:r>
              <w:t xml:space="preserve">1,050</w:t>
            </w:r>
          </w:p>
        </w:tc>
      </w:tr>
      <w:tr>
        <w:tc>
          <w:tcPr/>
          <w:p>
            <w:pPr>
              <w:pStyle w:val="Compact"/>
              <w:jc w:val="left"/>
            </w:pPr>
            <w:r>
              <w:t xml:space="preserve">6</w:t>
            </w:r>
          </w:p>
        </w:tc>
        <w:tc>
          <w:tcPr/>
          <w:p>
            <w:pPr>
              <w:pStyle w:val="Compact"/>
              <w:jc w:val="left"/>
            </w:pPr>
            <w:r>
              <w:t xml:space="preserve">Corporate Wellness Workshop: "Nutrition &amp; Metabolic Health in the UAE Climate" (delivered at client's Dubai office, up to 50 attendees)</w:t>
            </w:r>
          </w:p>
        </w:tc>
        <w:tc>
          <w:tcPr/>
          <w:p>
            <w:pPr>
              <w:pStyle w:val="Compact"/>
              <w:jc w:val="left"/>
            </w:pPr>
            <w:r>
              <w:t xml:space="preserve">One-time (3 hrs)</w:t>
            </w:r>
          </w:p>
        </w:tc>
        <w:tc>
          <w:tcPr/>
          <w:p>
            <w:pPr>
              <w:pStyle w:val="Compact"/>
              <w:jc w:val="left"/>
            </w:pPr>
            <w:r>
              <w:t xml:space="preserve">3,500</w:t>
            </w:r>
          </w:p>
        </w:tc>
        <w:tc>
          <w:tcPr/>
          <w:p>
            <w:pPr>
              <w:pStyle w:val="Compact"/>
              <w:jc w:val="left"/>
            </w:pPr>
            <w:r>
              <w:t xml:space="preserve">1</w:t>
            </w:r>
          </w:p>
        </w:tc>
        <w:tc>
          <w:tcPr/>
          <w:p>
            <w:pPr>
              <w:pStyle w:val="Compact"/>
              <w:jc w:val="left"/>
            </w:pPr>
            <w:r>
              <w:t xml:space="preserve">3,500</w:t>
            </w:r>
          </w:p>
        </w:tc>
      </w:tr>
      <w:tr>
        <w:tc>
          <w:tcPr/>
          <w:p>
            <w:pPr>
              <w:pStyle w:val="Compact"/>
              <w:jc w:val="left"/>
            </w:pPr>
            <w:r>
              <w:t xml:space="preserve">7</w:t>
            </w:r>
          </w:p>
        </w:tc>
        <w:tc>
          <w:tcPr/>
          <w:p>
            <w:pPr>
              <w:pStyle w:val="Compact"/>
              <w:jc w:val="left"/>
            </w:pPr>
            <w:r>
              <w:t xml:space="preserve">Printed &amp; Digital Nutrition Education Packets (Arabic/English bilingual, UAE-specific dietary guidelines)</w:t>
            </w:r>
          </w:p>
        </w:tc>
        <w:tc>
          <w:tcPr/>
          <w:p>
            <w:pPr>
              <w:pStyle w:val="Compact"/>
              <w:jc w:val="left"/>
            </w:pPr>
            <w:r>
              <w:t xml:space="preserve">One-time</w:t>
            </w:r>
          </w:p>
        </w:tc>
        <w:tc>
          <w:tcPr/>
          <w:p>
            <w:pPr>
              <w:pStyle w:val="Compact"/>
              <w:jc w:val="left"/>
            </w:pPr>
            <w:r>
              <w:t xml:space="preserve">250</w:t>
            </w:r>
          </w:p>
        </w:tc>
        <w:tc>
          <w:tcPr/>
          <w:p>
            <w:pPr>
              <w:pStyle w:val="Compact"/>
              <w:jc w:val="left"/>
            </w:pPr>
            <w:r>
              <w:t xml:space="preserve">50</w:t>
            </w:r>
          </w:p>
        </w:tc>
        <w:tc>
          <w:tcPr/>
          <w:p>
            <w:pPr>
              <w:pStyle w:val="Compact"/>
              <w:jc w:val="left"/>
            </w:pPr>
            <w:r>
              <w:t xml:space="preserve">12,500</w:t>
            </w:r>
          </w:p>
        </w:tc>
      </w:tr>
      <w:tr>
        <w:tc>
          <w:tcPr/>
          <w:p>
            <w:pPr>
              <w:pStyle w:val="Compact"/>
              <w:jc w:val="left"/>
            </w:pPr>
            <w:r>
              <w:t xml:space="preserve">8</w:t>
            </w:r>
          </w:p>
        </w:tc>
        <w:tc>
          <w:tcPr/>
          <w:p>
            <w:pPr>
              <w:pStyle w:val="Compact"/>
              <w:jc w:val="left"/>
            </w:pPr>
            <w:r>
              <w:t xml:space="preserve">Administrative &amp; Coordination Fees (scheduling, record-keeping, DHA compliance documentation)</w:t>
            </w:r>
          </w:p>
        </w:tc>
        <w:tc>
          <w:tcPr/>
          <w:p>
            <w:pPr>
              <w:pStyle w:val="Compact"/>
              <w:jc w:val="left"/>
            </w:pPr>
            <w:r>
              <w:t xml:space="preserve">3-month period</w:t>
            </w:r>
          </w:p>
        </w:tc>
        <w:tc>
          <w:tcPr/>
          <w:p>
            <w:pPr>
              <w:pStyle w:val="Compact"/>
              <w:jc w:val="left"/>
            </w:pPr>
            <w:r>
              <w:t xml:space="preserve">500</w:t>
            </w:r>
          </w:p>
        </w:tc>
        <w:tc>
          <w:tcPr/>
          <w:p>
            <w:pPr>
              <w:pStyle w:val="Compact"/>
              <w:jc w:val="left"/>
            </w:pPr>
            <w:r>
              <w:t xml:space="preserve">3</w:t>
            </w:r>
          </w:p>
        </w:tc>
        <w:tc>
          <w:tcPr/>
          <w:p>
            <w:pPr>
              <w:pStyle w:val="Compact"/>
              <w:jc w:val="left"/>
            </w:pPr>
            <w:r>
              <w:t xml:space="preserve">1,500</w:t>
            </w:r>
          </w:p>
        </w:tc>
      </w:tr>
      <w:tr>
        <w:tc>
          <w:tcPr>
            <w:gridSpan w:val="5"/>
          </w:tcPr>
          <w:p>
            <w:pPr>
              <w:pStyle w:val="Compact"/>
              <w:jc w:val="left"/>
            </w:pPr>
            <w:r>
              <w:t xml:space="preserve">TOTAL ESTIMATED COST (AED)</w:t>
            </w:r>
          </w:p>
        </w:tc>
        <w:tc>
          <w:tcPr/>
          <w:p>
            <w:pPr>
              <w:pStyle w:val="Compact"/>
              <w:jc w:val="left"/>
            </w:pPr>
            <w:r>
              <w:t xml:space="preserve">28,750</w:t>
            </w:r>
          </w:p>
        </w:tc>
      </w:tr>
      <w:tr>
        <w:tc>
          <w:tcPr>
            <w:gridSpan w:val="5"/>
          </w:tcPr>
          <w:p>
            <w:pPr>
              <w:pStyle w:val="Compact"/>
              <w:jc w:val="left"/>
            </w:pPr>
            <w:r>
              <w:t xml:space="preserve">VAT (5% — United Arab Emirates Federal Tax Authority)</w:t>
            </w:r>
          </w:p>
        </w:tc>
        <w:tc>
          <w:tcPr/>
          <w:p>
            <w:pPr>
              <w:pStyle w:val="Compact"/>
              <w:jc w:val="left"/>
            </w:pPr>
            <w:r>
              <w:t xml:space="preserve">1,437.50</w:t>
            </w:r>
          </w:p>
        </w:tc>
      </w:tr>
      <w:tr>
        <w:tc>
          <w:tcPr>
            <w:gridSpan w:val="5"/>
          </w:tcPr>
          <w:p>
            <w:pPr>
              <w:pStyle w:val="Compact"/>
              <w:jc w:val="left"/>
            </w:pPr>
            <w:r>
              <w:t xml:space="preserve">GRAND TOTAL (AED)</w:t>
            </w:r>
          </w:p>
        </w:tc>
        <w:tc>
          <w:tcPr/>
          <w:p>
            <w:pPr>
              <w:pStyle w:val="Compact"/>
              <w:jc w:val="left"/>
            </w:pPr>
            <w:r>
              <w:t xml:space="preserve">30,187.50</w:t>
            </w:r>
          </w:p>
        </w:tc>
      </w:tr>
    </w:tbl>
    <w:bookmarkEnd w:id="22"/>
    <w:bookmarkStart w:id="23" w:name="X06f751c0fef37426aad28df54ec1acd620508e5"/>
    <w:p>
      <w:pPr>
        <w:pStyle w:val="Heading2"/>
      </w:pPr>
      <w:r>
        <w:t xml:space="preserve">3. 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Upon expiration, all rates listed herein are subject to revision based on prevailing market conditions in the United Arab Emirates Dubai healthcare sector.</w:t>
      </w:r>
    </w:p>
    <w:p>
      <w:pPr>
        <w:numPr>
          <w:ilvl w:val="0"/>
          <w:numId w:val="1001"/>
        </w:numPr>
        <w:pStyle w:val="Compact"/>
      </w:pPr>
      <w:r>
        <w:t xml:space="preserve">All prices are quoted in United Arab Emirates Dirhams (AED) and are inclusive of all professional fees. The 5% Value Added Tax (VAT) as mandated by the Federal Tax Authority of the United Arab Emirates is applied separately as shown above.</w:t>
      </w:r>
    </w:p>
    <w:p>
      <w:pPr>
        <w:numPr>
          <w:ilvl w:val="0"/>
          <w:numId w:val="1001"/>
        </w:numPr>
        <w:pStyle w:val="Compact"/>
      </w:pPr>
      <w:r>
        <w:t xml:space="preserve">Payment terms: 50% advance payment upon acceptance of this Quotation Estimate; the remaining 50% shall be due within fourteen (14) days of program completion. Payments may be made via bank transfer to the provider's designated corporate account in Dubai, United Arab Emirates.</w:t>
      </w:r>
    </w:p>
    <w:p>
      <w:pPr>
        <w:numPr>
          <w:ilvl w:val="0"/>
          <w:numId w:val="1001"/>
        </w:numPr>
        <w:pStyle w:val="Compact"/>
      </w:pPr>
      <w:r>
        <w:t xml:space="preserve">The</w:t>
      </w:r>
      <w:r>
        <w:t xml:space="preserve"> </w:t>
      </w:r>
      <w:r>
        <w:t xml:space="preserve">Dietitian</w:t>
      </w:r>
      <w:r>
        <w:t xml:space="preserve"> </w:t>
      </w:r>
      <w:r>
        <w:t xml:space="preserve">services described in this estimate are strictly for nutritional guidance and do not constitute medical diagnosis or treatment. In cases where clinical intervention is required, the Dietitian will refer the client to a licensed physician in the United Arab Emirates Dubai healthcare network.</w:t>
      </w:r>
    </w:p>
    <w:p>
      <w:pPr>
        <w:numPr>
          <w:ilvl w:val="0"/>
          <w:numId w:val="1001"/>
        </w:numPr>
        <w:pStyle w:val="Compact"/>
      </w:pPr>
      <w:r>
        <w:t xml:space="preserve">All client data, health records, and dietary information will be handled in strict accordance with the UAE Federal Decree-Law No. 45 of 2021 on the Protection of Personal Data. Data will be stored on servers located within the United Arab Emirates.</w:t>
      </w:r>
    </w:p>
    <w:p>
      <w:pPr>
        <w:numPr>
          <w:ilvl w:val="0"/>
          <w:numId w:val="1001"/>
        </w:numPr>
        <w:pStyle w:val="Compact"/>
      </w:pPr>
      <w:r>
        <w:t xml:space="preserve">Cancellation policy: Should the client wish to cancel the engagement, a written notice of at least seven (7) business days must be provided. Fees for sessions already conducted will not be refunded. The advance payment is non-refundable after the initial assessment has been completed.</w:t>
      </w:r>
    </w:p>
    <w:p>
      <w:pPr>
        <w:numPr>
          <w:ilvl w:val="0"/>
          <w:numId w:val="1001"/>
        </w:numPr>
        <w:pStyle w:val="Compact"/>
      </w:pPr>
      <w:r>
        <w:t xml:space="preserve">This Quotation Estimate does not constitute a binding contract until formally signed and stamped by both parties. The final service agreement will be executed upon acceptance and will incorporate all terms detailed herein.</w:t>
      </w:r>
    </w:p>
    <w:p>
      <w:pPr>
        <w:numPr>
          <w:ilvl w:val="0"/>
          <w:numId w:val="1001"/>
        </w:numPr>
        <w:pStyle w:val="Compact"/>
      </w:pPr>
      <w:r>
        <w:t xml:space="preserve">The provider reserves the right to substitute the assigned Dietitian with an equally qualified professional in the event of unforeseen unavailability, provided the substitute meets or exceeds the credentials outlined in Section 1 of this document.</w:t>
      </w:r>
    </w:p>
    <w:p>
      <w:pPr>
        <w:numPr>
          <w:ilvl w:val="0"/>
          <w:numId w:val="1001"/>
        </w:numPr>
        <w:pStyle w:val="Compact"/>
      </w:pPr>
      <w:r>
        <w:t xml:space="preserve">All services will be performed at the provider's registered office in Dubai Marina, United Arab Emirates Dubai, or at the client's designated location within the Dubai emirate, unless otherwise agreed in writing.</w:t>
      </w:r>
    </w:p>
    <w:p>
      <w:pPr>
        <w:numPr>
          <w:ilvl w:val="0"/>
          <w:numId w:val="1001"/>
        </w:numPr>
        <w:pStyle w:val="Compact"/>
      </w:pPr>
      <w:r>
        <w:t xml:space="preserve">Any disputes arising from this Quotation Estimate or the subsequent service agreement shall be governed by the laws of the United Arab Emirates and shall be subject to the exclusive jurisdiction of the courts of Dubai.</w:t>
      </w:r>
    </w:p>
    <w:bookmarkEnd w:id="23"/>
    <w:bookmarkStart w:id="24" w:name="acceptance-authorization"/>
    <w:p>
      <w:pPr>
        <w:pStyle w:val="Heading2"/>
      </w:pPr>
      <w:r>
        <w:t xml:space="preserve">4. Acceptance &amp; Authorization</w:t>
      </w:r>
    </w:p>
    <w:p>
      <w:pPr>
        <w:pStyle w:val="FirstParagraph"/>
      </w:pPr>
      <w:r>
        <w:rPr>
          <w:bCs/>
          <w:b/>
        </w:rPr>
        <w:t xml:space="preserve">For and on behalf of the Provider:</w:t>
      </w:r>
      <w:r>
        <w:br/>
      </w:r>
      <w:r>
        <w:t xml:space="preserve">Wellness &amp; Nutrition Hub LLC</w:t>
      </w:r>
    </w:p>
    <w:p>
      <w:pPr>
        <w:pStyle w:val="BodyText"/>
      </w:pPr>
      <w:r>
        <w:t xml:space="preserve">Name: Dr. Layla Al Mansouri, RD</w:t>
      </w:r>
      <w:r>
        <w:br/>
      </w:r>
      <w:r>
        <w:t xml:space="preserve">Title: Lead Dietitian &amp; Director</w:t>
      </w:r>
      <w:r>
        <w:br/>
      </w:r>
      <w:r>
        <w:t xml:space="preserve">Date: _______________</w:t>
      </w:r>
    </w:p>
    <w:p>
      <w:pPr>
        <w:pStyle w:val="BodyText"/>
      </w:pPr>
      <w:r>
        <w:rPr>
          <w:bCs/>
          <w:b/>
        </w:rPr>
        <w:t xml:space="preserve">For and on behalf of the Client:</w:t>
      </w:r>
      <w:r>
        <w:br/>
      </w:r>
      <w:r>
        <w:t xml:space="preserve">[Client Organization Name]</w:t>
      </w:r>
    </w:p>
    <w:p>
      <w:pPr>
        <w:pStyle w:val="BodyText"/>
      </w:pPr>
      <w:r>
        <w:t xml:space="preserve">Name: _________________________</w:t>
      </w:r>
      <w:r>
        <w:br/>
      </w:r>
      <w:r>
        <w:t xml:space="preserve">Title: _________________________</w:t>
      </w:r>
      <w:r>
        <w:br/>
      </w:r>
      <w:r>
        <w:t xml:space="preserve">Date: _______________</w:t>
      </w:r>
    </w:p>
    <w:p>
      <w:pPr>
        <w:pStyle w:val="BodyText"/>
      </w:pPr>
      <w:r>
        <w:t xml:space="preserve">Quotation Estimate</w:t>
      </w:r>
      <w:r>
        <w:t xml:space="preserve"> </w:t>
      </w:r>
      <w:r>
        <w:t xml:space="preserve"> | </w:t>
      </w:r>
      <w:r>
        <w:t xml:space="preserve"> </w:t>
      </w:r>
      <w:r>
        <w:t xml:space="preserve">Dietitian Services</w:t>
      </w:r>
      <w:r>
        <w:t xml:space="preserve"> </w:t>
      </w:r>
      <w:r>
        <w:t xml:space="preserve"> | </w:t>
      </w:r>
      <w:r>
        <w:t xml:space="preserve"> </w:t>
      </w:r>
      <w:r>
        <w:t xml:space="preserve">United Arab Emirates Dubai</w:t>
      </w:r>
    </w:p>
    <w:p>
      <w:pPr>
        <w:pStyle w:val="BodyText"/>
      </w:pPr>
      <w:r>
        <w:t xml:space="preserve">This Quotation Estimate document was prepared by Wellness &amp; Nutrition Hub LLC, a licensed healthcare entity registered in the United Arab Emirates Dubai.</w:t>
      </w:r>
      <w:r>
        <w:t xml:space="preserve"> </w:t>
      </w:r>
      <w:r>
        <w:t xml:space="preserve">For inquiries regarding this estimate, please contact our client services team at +971 4 555 0192 or quotes@wellnessnutritionhub.ae.</w:t>
      </w:r>
    </w:p>
    <w:p>
      <w:pPr>
        <w:pStyle w:val="BodyText"/>
      </w:pPr>
      <w:r>
        <w:t xml:space="preserve">© 2025 Wellness &amp; Nutrition Hub LLC. All rights reserved. Document Ref: QTE-DXB-2025-0487.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United Arab Emirates Dubai</dc:title>
  <dc:creator/>
  <dc:language>en</dc:language>
  <cp:keywords/>
  <dcterms:created xsi:type="dcterms:W3CDTF">2026-10-10T04:24:43Z</dcterms:created>
  <dcterms:modified xsi:type="dcterms:W3CDTF">2026-10-10T04:24:43Z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