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Formal Estimate for Diplomatic Services and Protocol Consulting</w:t>
      </w:r>
    </w:p>
    <w:p>
      <w:pPr>
        <w:pStyle w:val="BodyText"/>
      </w:pPr>
      <w:r>
        <w:t xml:space="preserve">Diplomat GmbH</w:t>
      </w:r>
    </w:p>
    <w:p>
      <w:pPr>
        <w:pStyle w:val="BodyText"/>
      </w:pPr>
      <w:r>
        <w:t xml:space="preserve">Friedrichstraße 183, 10117 Berlin, Germany | Tel: +49 30 5550 1200 | Email: estimates@diplomat-berlin.de</w:t>
      </w:r>
    </w:p>
    <w:p>
      <w:pPr>
        <w:pStyle w:val="BodyText"/>
      </w:pPr>
      <w:r>
        <w:t xml:space="preserve">USt-IdNr.: DE 312 456 789 | HRB 123456 B, Amtsgericht Charlottenburg</w:t>
      </w:r>
    </w:p>
    <w:bookmarkEnd w:id="20"/>
    <w:p>
      <w:pPr>
        <w:pStyle w:val="BodyText"/>
      </w:pPr>
      <w:r>
        <w:rPr>
          <w:bCs/>
          <w:b/>
        </w:rPr>
        <w:t xml:space="preserve">Quotation No.:</w:t>
      </w:r>
      <w:r>
        <w:t xml:space="preserve"> </w:t>
      </w:r>
      <w:r>
        <w:t xml:space="preserve">DIP-BER-2025-0487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t xml:space="preserve">Bundesministerium des Innern</w:t>
      </w:r>
      <w:r>
        <w:br/>
      </w:r>
      <w:r>
        <w:t xml:space="preserve">Referat für Protokoll und Zeremoniell</w:t>
      </w:r>
      <w:r>
        <w:br/>
      </w:r>
      <w:r>
        <w:t xml:space="preserve">Wilhelmstraße 69, 10117 Berlin, Germany</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GmbH, a specialist firm headquartered in</w:t>
      </w:r>
      <w:r>
        <w:t xml:space="preserve"> </w:t>
      </w:r>
      <w:r>
        <w:t xml:space="preserve">Germany Berlin</w:t>
      </w:r>
      <w:r>
        <w:t xml:space="preserve">, in response to the formal request for a comprehensive cost assessment of diplomatic protocol services, multilingual interpretation support, and international event coordination. The present document serves as a binding preliminary estimate for the services described herein and is intended to provide the requesting authority with a transparent, itemised breakdown of all anticipated costs associated with the engagement of</w:t>
      </w:r>
      <w:r>
        <w:t xml:space="preserve"> </w:t>
      </w:r>
      <w:r>
        <w:t xml:space="preserve">Diplomat</w:t>
      </w:r>
      <w:r>
        <w:t xml:space="preserve"> </w:t>
      </w:r>
      <w:r>
        <w:t xml:space="preserve">in the capital city of Germany.</w:t>
      </w:r>
    </w:p>
    <w:p>
      <w:pPr>
        <w:pStyle w:val="BodyText"/>
      </w:pPr>
      <w:r>
        <w:t xml:space="preserve">All figures presented in this</w:t>
      </w:r>
      <w:r>
        <w:t xml:space="preserve"> </w:t>
      </w:r>
      <w:r>
        <w:t xml:space="preserve">Quotation Estimate</w:t>
      </w:r>
      <w:r>
        <w:t xml:space="preserve"> </w:t>
      </w:r>
      <w:r>
        <w:t xml:space="preserve">are calculated in accordance with the prevailing market rates applicable to</w:t>
      </w:r>
      <w:r>
        <w:t xml:space="preserve"> </w:t>
      </w:r>
      <w:r>
        <w:t xml:space="preserve">Germany Berlin</w:t>
      </w:r>
      <w:r>
        <w:t xml:space="preserve"> </w:t>
      </w:r>
      <w:r>
        <w:t xml:space="preserve">as of the date of issue. The scope of work encompasses a full cycle of diplomatic support services to be delivered at designated government facilities within the Berlin metropolitan area, including but not limited to the Reichstag complex, the Federal Chancellery grounds, and the Berlin International Convention Centre (ICC Berlin).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Diplomatic Protocol Officer – On-site coordination for state visits and bilateral summits in Berlin</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Simultaneous Interpretation (EN/DE/FR/AR) – Four-language booth setup and certified interpreters for plenary sessions</w:t>
            </w:r>
          </w:p>
        </w:tc>
        <w:tc>
          <w:tcPr/>
          <w:p>
            <w:pPr>
              <w:pStyle w:val="Compact"/>
              <w:jc w:val="left"/>
            </w:pPr>
            <w:r>
              <w:t xml:space="preserve">48 hours</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Diplomatic Correspondence and Document Translation – Certified translation of official memoranda, treaties, and briefing documents</w:t>
            </w:r>
          </w:p>
        </w:tc>
        <w:tc>
          <w:tcPr/>
          <w:p>
            <w:pPr>
              <w:pStyle w:val="Compact"/>
              <w:jc w:val="left"/>
            </w:pPr>
            <w:r>
              <w:t xml:space="preserve">350 pages</w:t>
            </w:r>
          </w:p>
        </w:tc>
        <w:tc>
          <w:tcPr/>
          <w:p>
            <w:pPr>
              <w:pStyle w:val="Compact"/>
              <w:jc w:val="left"/>
            </w:pPr>
            <w:r>
              <w:t xml:space="preserve">18.50</w:t>
            </w:r>
          </w:p>
        </w:tc>
        <w:tc>
          <w:tcPr/>
          <w:p>
            <w:pPr>
              <w:pStyle w:val="Compact"/>
              <w:jc w:val="left"/>
            </w:pPr>
            <w:r>
              <w:t xml:space="preserve">6,475.00</w:t>
            </w:r>
          </w:p>
        </w:tc>
      </w:tr>
      <w:tr>
        <w:tc>
          <w:tcPr/>
          <w:p>
            <w:pPr>
              <w:pStyle w:val="Compact"/>
              <w:jc w:val="left"/>
            </w:pPr>
            <w:r>
              <w:t xml:space="preserve">04</w:t>
            </w:r>
          </w:p>
        </w:tc>
        <w:tc>
          <w:tcPr/>
          <w:p>
            <w:pPr>
              <w:pStyle w:val="Compact"/>
              <w:jc w:val="left"/>
            </w:pPr>
            <w:r>
              <w:t xml:space="preserve">Event Logistics and Security Liaison – Coordination with Berliner Polizei and BSI for high-profile diplomatic gatherings</w:t>
            </w:r>
          </w:p>
        </w:tc>
        <w:tc>
          <w:tcPr/>
          <w:p>
            <w:pPr>
              <w:pStyle w:val="Compact"/>
              <w:jc w:val="left"/>
            </w:pPr>
            <w:r>
              <w:t xml:space="preserve">6 days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Cultural Briefing and Pre-Arrival Advisory – Preparation of cultural sensitivity dossiers for visiting delegations to Germany Berlin</w:t>
            </w:r>
          </w:p>
        </w:tc>
        <w:tc>
          <w:tcPr/>
          <w:p>
            <w:pPr>
              <w:pStyle w:val="Compact"/>
              <w:jc w:val="left"/>
            </w:pPr>
            <w:r>
              <w:t xml:space="preserve">8 delegations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After-Hours and Weekend Availability Surcharge – Premium rate for services rendered outside standard business hours in Berlin</w:t>
            </w:r>
          </w:p>
        </w:tc>
        <w:tc>
          <w:tcPr/>
          <w:p>
            <w:pPr>
              <w:pStyle w:val="Compact"/>
              <w:jc w:val="left"/>
            </w:pPr>
            <w:r>
              <w:t xml:space="preserve">30 hours</w:t>
            </w:r>
          </w:p>
        </w:tc>
        <w:tc>
          <w:tcPr/>
          <w:p>
            <w:pPr>
              <w:pStyle w:val="Compact"/>
              <w:jc w:val="left"/>
            </w:pPr>
            <w:r>
              <w:t xml:space="preserve">217.50</w:t>
            </w:r>
          </w:p>
        </w:tc>
        <w:tc>
          <w:tcPr/>
          <w:p>
            <w:pPr>
              <w:pStyle w:val="Compact"/>
              <w:jc w:val="left"/>
            </w:pPr>
            <w:r>
              <w:t xml:space="preserve">6,525.00</w:t>
            </w:r>
          </w:p>
        </w:tc>
      </w:tr>
      <w:tr>
        <w:tc>
          <w:tcPr/>
          <w:p>
            <w:pPr>
              <w:pStyle w:val="Compact"/>
              <w:jc w:val="left"/>
            </w:pPr>
            <w:r>
              <w:t xml:space="preserve">07</w:t>
            </w:r>
          </w:p>
        </w:tc>
        <w:tc>
          <w:tcPr/>
          <w:p>
            <w:pPr>
              <w:pStyle w:val="Compact"/>
              <w:jc w:val="left"/>
            </w:pPr>
            <w:r>
              <w:t xml:space="preserve">Travel and Accommodation Allowance – Relocation of</w:t>
            </w:r>
            <w:r>
              <w:t xml:space="preserve"> </w:t>
            </w:r>
            <w:r>
              <w:t xml:space="preserve">Diplomat</w:t>
            </w:r>
            <w:r>
              <w:t xml:space="preserve"> </w:t>
            </w:r>
            <w:r>
              <w:t xml:space="preserve">field team to client premises within the Berlin district</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3,200.00</w:t>
            </w:r>
          </w:p>
        </w:tc>
      </w:tr>
      <w:tr>
        <w:tc>
          <w:tcPr>
            <w:gridSpan w:val="4"/>
          </w:tcPr>
          <w:p>
            <w:pPr>
              <w:pStyle w:val="Compact"/>
              <w:jc w:val="right"/>
            </w:pPr>
            <w:r>
              <w:t xml:space="preserve">Subtotal (excl. VAT):</w:t>
            </w:r>
          </w:p>
        </w:tc>
        <w:tc>
          <w:tcPr/>
          <w:p>
            <w:pPr>
              <w:pStyle w:val="Compact"/>
              <w:jc w:val="left"/>
            </w:pPr>
            <w:r>
              <w:t xml:space="preserve">90,160.00</w:t>
            </w:r>
          </w:p>
        </w:tc>
      </w:tr>
      <w:tr>
        <w:tc>
          <w:tcPr>
            <w:gridSpan w:val="4"/>
          </w:tcPr>
          <w:p>
            <w:pPr>
              <w:pStyle w:val="Compact"/>
              <w:jc w:val="right"/>
            </w:pPr>
            <w:r>
              <w:t xml:space="preserve">VAT (19% – USt, Germany):</w:t>
            </w:r>
          </w:p>
        </w:tc>
        <w:tc>
          <w:tcPr/>
          <w:p>
            <w:pPr>
              <w:pStyle w:val="Compact"/>
              <w:jc w:val="left"/>
            </w:pPr>
            <w:r>
              <w:t xml:space="preserve">17,130.40</w:t>
            </w:r>
          </w:p>
        </w:tc>
      </w:tr>
      <w:tr>
        <w:tc>
          <w:tcPr>
            <w:gridSpan w:val="4"/>
          </w:tcPr>
          <w:p>
            <w:pPr>
              <w:pStyle w:val="Compact"/>
              <w:jc w:val="right"/>
            </w:pPr>
            <w:r>
              <w:t xml:space="preserve">TOTAL ESTIMATED COST (incl. VAT):</w:t>
            </w:r>
          </w:p>
        </w:tc>
        <w:tc>
          <w:tcPr/>
          <w:p>
            <w:pPr>
              <w:pStyle w:val="Compact"/>
              <w:jc w:val="left"/>
            </w:pPr>
            <w:r>
              <w:t xml:space="preserve">107,290.40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issued by</w:t>
      </w:r>
      <w:r>
        <w:t xml:space="preserve"> </w:t>
      </w:r>
      <w:r>
        <w:t xml:space="preserve">Diplomat</w:t>
      </w:r>
      <w:r>
        <w:t xml:space="preserve"> </w:t>
      </w:r>
      <w:r>
        <w:t xml:space="preserve">GmbH remains valid for a period of ninety (90) calendar days from the date of issue. Beyond this period, all rates are subject to revision in line with current market conditions in</w:t>
      </w:r>
      <w:r>
        <w:t xml:space="preserve"> </w:t>
      </w:r>
      <w:r>
        <w:t xml:space="preserve">Germany Berlin</w:t>
      </w:r>
      <w:r>
        <w:t xml:space="preserve">.</w:t>
      </w:r>
    </w:p>
    <w:p>
      <w:pPr>
        <w:numPr>
          <w:ilvl w:val="0"/>
          <w:numId w:val="1001"/>
        </w:numPr>
        <w:pStyle w:val="Compact"/>
      </w:pPr>
      <w:r>
        <w:rPr>
          <w:bCs/>
          <w:b/>
        </w:rPr>
        <w:t xml:space="preserve">Payment Terms:</w:t>
      </w:r>
      <w:r>
        <w:t xml:space="preserve"> </w:t>
      </w:r>
      <w:r>
        <w:t xml:space="preserve">Invoicing shall be issued monthly in arrears. Payment is due within thirty (30) days of invoice date via bank transfer to the designated account of</w:t>
      </w:r>
      <w:r>
        <w:t xml:space="preserve"> </w:t>
      </w:r>
      <w:r>
        <w:t xml:space="preserve">Diplomat</w:t>
      </w:r>
      <w:r>
        <w:t xml:space="preserve"> </w:t>
      </w:r>
      <w:r>
        <w:t xml:space="preserve">GmbH, Berlin. Late payments shall accrue interest at the statutory rate under § 288 BGB.</w:t>
      </w:r>
    </w:p>
    <w:p>
      <w:pPr>
        <w:numPr>
          <w:ilvl w:val="0"/>
          <w:numId w:val="1001"/>
        </w:numPr>
        <w:pStyle w:val="Compact"/>
      </w:pPr>
      <w:r>
        <w:rPr>
          <w:bCs/>
          <w:b/>
        </w:rPr>
        <w:t xml:space="preserve">Scope Changes:</w:t>
      </w:r>
      <w:r>
        <w:t xml:space="preserve"> </w:t>
      </w:r>
      <w:r>
        <w:t xml:space="preserve">Any modification to the scope of services outlined in this estimate must be agreed upon in writing by both parties. Additional services will be billed at the unit rates specified herein or at mutually agreed supplementary rates.</w:t>
      </w:r>
    </w:p>
    <w:p>
      <w:pPr>
        <w:numPr>
          <w:ilvl w:val="0"/>
          <w:numId w:val="1001"/>
        </w:numPr>
        <w:pStyle w:val="Compact"/>
      </w:pPr>
      <w:r>
        <w:rPr>
          <w:bCs/>
          <w:b/>
        </w:rPr>
        <w:t xml:space="preserve">Confidentiality:</w:t>
      </w:r>
      <w:r>
        <w:t xml:space="preserve"> </w:t>
      </w:r>
      <w:r>
        <w:t xml:space="preserve">Diplomat</w:t>
      </w:r>
      <w:r>
        <w:t xml:space="preserve"> </w:t>
      </w:r>
      <w:r>
        <w:t xml:space="preserve">GmbH undertakes to treat all information exchanged in the course of this engagement as strictly confidential, in compliance with the German Federal Data Protection Act (BDSG) and the EU General Data Protection Regulation (GDPR).</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contractual relationship shall be governed by and construed in accordance with the laws of the Federal Republic of Germany. Jurisdiction shall lie exclusively with the competent courts of Berlin,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acts of government, natural disasters, or public health emergencies affecting the Berlin region.</w:t>
      </w:r>
    </w:p>
    <w:bookmarkEnd w:id="23"/>
    <w:bookmarkStart w:id="24" w:name="acceptance-and-authorisation"/>
    <w:p>
      <w:pPr>
        <w:pStyle w:val="Heading2"/>
      </w:pPr>
      <w:r>
        <w:t xml:space="preserve">4. Acceptance and Authorisation</w:t>
      </w:r>
    </w:p>
    <w:p>
      <w:pPr>
        <w:pStyle w:val="FirstParagraph"/>
      </w:pPr>
      <w:r>
        <w:t xml:space="preserve">By signing below, the requesting authority acknowledges receipt of this</w:t>
      </w:r>
      <w:r>
        <w:t xml:space="preserve"> </w:t>
      </w:r>
      <w:r>
        <w:t xml:space="preserve">Quotation Estimate</w:t>
      </w:r>
      <w:r>
        <w:t xml:space="preserve"> </w:t>
      </w:r>
      <w:r>
        <w:t xml:space="preserve">and confirms that the cost projections provided by</w:t>
      </w:r>
      <w:r>
        <w:t xml:space="preserve"> </w:t>
      </w:r>
      <w:r>
        <w:t xml:space="preserve">Diplomat</w:t>
      </w:r>
      <w:r>
        <w:t xml:space="preserve"> </w:t>
      </w:r>
      <w:r>
        <w:t xml:space="preserve">GmbH for services to be rendered in</w:t>
      </w:r>
      <w:r>
        <w:t xml:space="preserve"> </w:t>
      </w:r>
      <w:r>
        <w:t xml:space="preserve">Germany Berlin</w:t>
      </w:r>
      <w:r>
        <w:t xml:space="preserve"> </w:t>
      </w:r>
      <w:r>
        <w:t xml:space="preserve">are acceptable for budgetary planning purposes. This signature does not constitute a binding purchase order until a formal contract is executed by both parties.</w:t>
      </w:r>
    </w:p>
    <w:p>
      <w:pPr>
        <w:pStyle w:val="BodyText"/>
      </w:pPr>
      <w:r>
        <w:rPr>
          <w:bCs/>
          <w:b/>
        </w:rPr>
        <w:t xml:space="preserve">For Diplomat GmbH</w:t>
      </w:r>
      <w:r>
        <w:br/>
      </w:r>
      <w:r>
        <w:t xml:space="preserve">Dr. Heinrich von Stein</w:t>
      </w:r>
      <w:r>
        <w:br/>
      </w:r>
      <w:r>
        <w:t xml:space="preserve">Managing Director</w:t>
      </w:r>
      <w:r>
        <w:br/>
      </w:r>
      <w:r>
        <w:t xml:space="preserve">Date: _______________</w:t>
      </w:r>
    </w:p>
    <w:p>
      <w:pPr>
        <w:pStyle w:val="BodyText"/>
      </w:pPr>
      <w:r>
        <w:rPr>
          <w:bCs/>
          <w:b/>
        </w:rPr>
        <w:t xml:space="preserve">For the Requesting Authority</w:t>
      </w:r>
      <w:r>
        <w:br/>
      </w:r>
      <w:r>
        <w:t xml:space="preserve">Name: _______________</w:t>
      </w:r>
      <w:r>
        <w:br/>
      </w:r>
      <w:r>
        <w:t xml:space="preserve">Title: _______________</w:t>
      </w:r>
      <w:r>
        <w:br/>
      </w:r>
      <w:r>
        <w:t xml:space="preserve">Date: _______________</w:t>
      </w:r>
    </w:p>
    <w:p>
      <w:pPr>
        <w:pStyle w:val="BodyText"/>
      </w:pPr>
      <w:r>
        <w:t xml:space="preserve">This Quotation Estimate was prepared by Diplomat GmbH, Friedrichstraße 183, 10117 Berlin, Germany. Document reference: DIP-BER-2025-0487. This document is confidential and intended solely for the named recipient. Unauthorised reproduction or distribution is prohibited under German copyright law (Urheberrechtsgesetz). For queries regarding this estimate, please contact the Diplomat Berlin office at +49 30 5550 1200 or estimates@diplomat-berlin.de.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Germany Berlin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