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Indonesia</w:t>
      </w:r>
      <w:r>
        <w:t xml:space="preserve"> </w:t>
      </w:r>
      <w:r>
        <w:t xml:space="preserve">Jakarta</w:t>
      </w:r>
    </w:p>
    <w:bookmarkStart w:id="20" w:name="pt-diplomat-interior-solutions"/>
    <w:p>
      <w:pPr>
        <w:pStyle w:val="Heading1"/>
      </w:pPr>
      <w:r>
        <w:t xml:space="preserve">PT Diplomat Interior Solutions</w:t>
      </w:r>
    </w:p>
    <w:p>
      <w:pPr>
        <w:pStyle w:val="FirstParagraph"/>
      </w:pPr>
      <w:r>
        <w:t xml:space="preserve">Jl. Jend. Sudirman Kav. 52-53, SCBD District</w:t>
      </w:r>
    </w:p>
    <w:p>
      <w:pPr>
        <w:pStyle w:val="BodyText"/>
      </w:pPr>
      <w:r>
        <w:t xml:space="preserve">Jakarta Selatan 12190, Indonesia</w:t>
      </w:r>
    </w:p>
    <w:p>
      <w:pPr>
        <w:pStyle w:val="BodyText"/>
      </w:pPr>
      <w:r>
        <w:t xml:space="preserve">Tel: +62 21 5150 8800 | Email: sales@diplomat-interior.co.id</w:t>
      </w:r>
    </w:p>
    <w:p>
      <w:pPr>
        <w:pStyle w:val="BodyText"/>
      </w:pPr>
      <w:r>
        <w:t xml:space="preserve">NPWP: 01.234.567.8-051.000</w:t>
      </w:r>
    </w:p>
    <w:bookmarkEnd w:id="20"/>
    <w:bookmarkStart w:id="21" w:name="quotation-estimate"/>
    <w:p>
      <w:pPr>
        <w:pStyle w:val="Heading2"/>
      </w:pPr>
      <w:r>
        <w:t xml:space="preserve">Quotation Estimate</w:t>
      </w:r>
    </w:p>
    <w:p>
      <w:pPr>
        <w:pStyle w:val="FirstParagraph"/>
      </w:pPr>
      <w:r>
        <w:t xml:space="preserve">Ref: QTE-DIP-2025-0847</w:t>
      </w:r>
    </w:p>
    <w:p>
      <w:pPr>
        <w:pStyle w:val="BodyText"/>
      </w:pPr>
      <w:r>
        <w:t xml:space="preserve">Date: 15 June 2025</w:t>
      </w:r>
    </w:p>
    <w:p>
      <w:pPr>
        <w:pStyle w:val="BodyText"/>
      </w:pPr>
      <w:r>
        <w:t xml:space="preserve">Validity: 30 Days</w:t>
      </w:r>
    </w:p>
    <w:p>
      <w:pPr>
        <w:pStyle w:val="BodyText"/>
      </w:pPr>
      <w:r>
        <w:t xml:space="preserve">OFFICIAL</w:t>
      </w:r>
    </w:p>
    <w:bookmarkEnd w:id="21"/>
    <w:p>
      <w:pPr>
        <w:pStyle w:val="BodyText"/>
      </w:pPr>
      <w:r>
        <w:t xml:space="preserve">Client &amp; Project Information</w:t>
      </w:r>
    </w:p>
    <w:bookmarkStart w:id="22" w:name="prepared-for"/>
    <w:p>
      <w:pPr>
        <w:pStyle w:val="Heading3"/>
      </w:pPr>
      <w:r>
        <w:t xml:space="preserve">Prepared For</w:t>
      </w:r>
    </w:p>
    <w:p>
      <w:pPr>
        <w:pStyle w:val="FirstParagraph"/>
      </w:pPr>
      <w:r>
        <w:rPr>
          <w:bCs/>
          <w:b/>
        </w:rPr>
        <w:t xml:space="preserve">Client:</w:t>
      </w:r>
      <w:r>
        <w:t xml:space="preserve"> </w:t>
      </w:r>
      <w:r>
        <w:t xml:space="preserve">PT Nusantara Corporate Group</w:t>
      </w:r>
    </w:p>
    <w:p>
      <w:pPr>
        <w:pStyle w:val="BodyText"/>
      </w:pPr>
      <w:r>
        <w:rPr>
          <w:bCs/>
          <w:b/>
        </w:rPr>
        <w:t xml:space="preserve">Attn:</w:t>
      </w:r>
      <w:r>
        <w:t xml:space="preserve"> </w:t>
      </w:r>
      <w:r>
        <w:t xml:space="preserve">Mr. Budi Santoso, Head of Procurement</w:t>
      </w:r>
    </w:p>
    <w:p>
      <w:pPr>
        <w:pStyle w:val="BodyText"/>
      </w:pPr>
      <w:r>
        <w:rPr>
          <w:bCs/>
          <w:b/>
        </w:rPr>
        <w:t xml:space="preserve">Address:</w:t>
      </w:r>
      <w:r>
        <w:t xml:space="preserve"> </w:t>
      </w:r>
      <w:r>
        <w:t xml:space="preserve">Menara Diplomatik, Lt. 28, Jl. HR Rasuna Said, Kuningan, Jakarta Selatan 12950, Indonesia</w:t>
      </w:r>
    </w:p>
    <w:p>
      <w:pPr>
        <w:pStyle w:val="BodyText"/>
      </w:pPr>
      <w:r>
        <w:rPr>
          <w:bCs/>
          <w:b/>
        </w:rPr>
        <w:t xml:space="preserve">Contact:</w:t>
      </w:r>
      <w:r>
        <w:t xml:space="preserve"> </w:t>
      </w:r>
      <w:r>
        <w:t xml:space="preserve">+62 812 3456 7890</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Diplomat Premium Office Fit-Out</w:t>
      </w:r>
    </w:p>
    <w:p>
      <w:pPr>
        <w:pStyle w:val="BodyText"/>
      </w:pPr>
      <w:r>
        <w:rPr>
          <w:bCs/>
          <w:b/>
        </w:rPr>
        <w:t xml:space="preserve">Location:</w:t>
      </w:r>
      <w:r>
        <w:t xml:space="preserve"> </w:t>
      </w:r>
      <w:r>
        <w:t xml:space="preserve">Jakarta, Indonesia</w:t>
      </w:r>
    </w:p>
    <w:p>
      <w:pPr>
        <w:pStyle w:val="BodyText"/>
      </w:pPr>
      <w:r>
        <w:rPr>
          <w:bCs/>
          <w:b/>
        </w:rPr>
        <w:t xml:space="preserve">Scope:</w:t>
      </w:r>
      <w:r>
        <w:t xml:space="preserve"> </w:t>
      </w:r>
      <w:r>
        <w:t xml:space="preserve">Diplomat-branded executive furniture, interior systems, and installation services for a 4,200 sqm corporate headquarters</w:t>
      </w:r>
    </w:p>
    <w:p>
      <w:pPr>
        <w:pStyle w:val="BodyText"/>
      </w:pPr>
      <w:r>
        <w:rPr>
          <w:bCs/>
          <w:b/>
        </w:rPr>
        <w:t xml:space="preserve">Delivery Site:</w:t>
      </w:r>
      <w:r>
        <w:t xml:space="preserve"> </w:t>
      </w:r>
      <w:r>
        <w:t xml:space="preserve">Kuningan Business District, Jakarta Selatan</w:t>
      </w:r>
    </w:p>
    <w:bookmarkEnd w:id="23"/>
    <w:p>
      <w:pPr>
        <w:pStyle w:val="BodyText"/>
      </w:pPr>
      <w:r>
        <w:t xml:space="preserve">Quotation Estimate – Itemized Breakdown</w:t>
      </w:r>
    </w:p>
    <w:p>
      <w:pPr>
        <w:pStyle w:val="BodyText"/>
      </w:pPr>
      <w:r>
        <w:t xml:space="preserve">The following</w:t>
      </w:r>
      <w:r>
        <w:t xml:space="preserve"> </w:t>
      </w:r>
      <w:r>
        <w:rPr>
          <w:bCs/>
          <w:b/>
        </w:rPr>
        <w:t xml:space="preserve">Quotation Estimate</w:t>
      </w:r>
      <w:r>
        <w:t xml:space="preserve"> </w:t>
      </w:r>
      <w:r>
        <w:t xml:space="preserve">covers the supply, delivery, and professional installation of</w:t>
      </w:r>
      <w:r>
        <w:t xml:space="preserve"> </w:t>
      </w:r>
      <w:r>
        <w:rPr>
          <w:bCs/>
          <w:b/>
        </w:rPr>
        <w:t xml:space="preserve">Diplomat</w:t>
      </w:r>
      <w:r>
        <w:t xml:space="preserve"> </w:t>
      </w:r>
      <w:r>
        <w:t xml:space="preserve">branded premium office furniture and interior solutions for the client's new headquarters in</w:t>
      </w:r>
      <w:r>
        <w:t xml:space="preserve"> </w:t>
      </w:r>
      <w:r>
        <w:rPr>
          <w:bCs/>
          <w:b/>
        </w:rPr>
        <w:t xml:space="preserve">Indonesia Jakarta</w:t>
      </w:r>
      <w:r>
        <w:t xml:space="preserve">. All Diplomat products are sourced from the manufacturer's certified distribution network and comply with Indonesian SNI (Standar Nasional Indonesia) quality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Diplomat Product / 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Diplomat Executive Boardroom Table – Model "Jakarta Prestige" (3.6m, walnut veneer, integrated cable management)</w:t>
            </w:r>
          </w:p>
        </w:tc>
        <w:tc>
          <w:tcPr/>
          <w:p>
            <w:pPr>
              <w:pStyle w:val="Compact"/>
              <w:jc w:val="left"/>
            </w:pPr>
            <w:r>
              <w:t xml:space="preserve">2</w:t>
            </w:r>
          </w:p>
        </w:tc>
        <w:tc>
          <w:tcPr/>
          <w:p>
            <w:pPr>
              <w:pStyle w:val="Compact"/>
              <w:jc w:val="left"/>
            </w:pPr>
            <w:r>
              <w:t xml:space="preserve">Set</w:t>
            </w:r>
          </w:p>
        </w:tc>
        <w:tc>
          <w:tcPr/>
          <w:p>
            <w:pPr>
              <w:pStyle w:val="Compact"/>
              <w:jc w:val="left"/>
            </w:pPr>
            <w:r>
              <w:t xml:space="preserve">185,000,000</w:t>
            </w:r>
          </w:p>
        </w:tc>
        <w:tc>
          <w:tcPr/>
          <w:p>
            <w:pPr>
              <w:pStyle w:val="Compact"/>
              <w:jc w:val="left"/>
            </w:pPr>
            <w:r>
              <w:t xml:space="preserve">370,000,000</w:t>
            </w:r>
          </w:p>
        </w:tc>
      </w:tr>
      <w:tr>
        <w:tc>
          <w:tcPr/>
          <w:p>
            <w:pPr>
              <w:pStyle w:val="Compact"/>
              <w:jc w:val="left"/>
            </w:pPr>
            <w:r>
              <w:t xml:space="preserve">2</w:t>
            </w:r>
          </w:p>
        </w:tc>
        <w:tc>
          <w:tcPr/>
          <w:p>
            <w:pPr>
              <w:pStyle w:val="Compact"/>
              <w:jc w:val="left"/>
            </w:pPr>
            <w:r>
              <w:t xml:space="preserve">Diplomat Executive Leather Chairs – Model "Sudirman" (full-grain Italian leather, chrome base, ergonomic lumbar)</w:t>
            </w:r>
          </w:p>
        </w:tc>
        <w:tc>
          <w:tcPr/>
          <w:p>
            <w:pPr>
              <w:pStyle w:val="Compact"/>
              <w:jc w:val="left"/>
            </w:pPr>
            <w:r>
              <w:t xml:space="preserve">24</w:t>
            </w:r>
          </w:p>
        </w:tc>
        <w:tc>
          <w:tcPr/>
          <w:p>
            <w:pPr>
              <w:pStyle w:val="Compact"/>
              <w:jc w:val="left"/>
            </w:pPr>
            <w:r>
              <w:t xml:space="preserve">Unit</w:t>
            </w:r>
          </w:p>
        </w:tc>
        <w:tc>
          <w:tcPr/>
          <w:p>
            <w:pPr>
              <w:pStyle w:val="Compact"/>
              <w:jc w:val="left"/>
            </w:pPr>
            <w:r>
              <w:t xml:space="preserve">12,500,000</w:t>
            </w:r>
          </w:p>
        </w:tc>
        <w:tc>
          <w:tcPr/>
          <w:p>
            <w:pPr>
              <w:pStyle w:val="Compact"/>
              <w:jc w:val="left"/>
            </w:pPr>
            <w:r>
              <w:t xml:space="preserve">300,000,000</w:t>
            </w:r>
          </w:p>
        </w:tc>
      </w:tr>
      <w:tr>
        <w:tc>
          <w:tcPr/>
          <w:p>
            <w:pPr>
              <w:pStyle w:val="Compact"/>
              <w:jc w:val="left"/>
            </w:pPr>
            <w:r>
              <w:t xml:space="preserve">3</w:t>
            </w:r>
          </w:p>
        </w:tc>
        <w:tc>
          <w:tcPr/>
          <w:p>
            <w:pPr>
              <w:pStyle w:val="Compact"/>
              <w:jc w:val="left"/>
            </w:pPr>
            <w:r>
              <w:t xml:space="preserve">Diplomat Modular Workstation System – Model "Kuningan Grid" (4-person pod, height-adjustable, acoustic panels)</w:t>
            </w:r>
          </w:p>
        </w:tc>
        <w:tc>
          <w:tcPr/>
          <w:p>
            <w:pPr>
              <w:pStyle w:val="Compact"/>
              <w:jc w:val="left"/>
            </w:pPr>
            <w:r>
              <w:t xml:space="preserve">48</w:t>
            </w:r>
          </w:p>
        </w:tc>
        <w:tc>
          <w:tcPr/>
          <w:p>
            <w:pPr>
              <w:pStyle w:val="Compact"/>
              <w:jc w:val="left"/>
            </w:pPr>
            <w:r>
              <w:t xml:space="preserve">Pod</w:t>
            </w:r>
          </w:p>
        </w:tc>
        <w:tc>
          <w:tcPr/>
          <w:p>
            <w:pPr>
              <w:pStyle w:val="Compact"/>
              <w:jc w:val="left"/>
            </w:pPr>
            <w:r>
              <w:t xml:space="preserve">28,750,000</w:t>
            </w:r>
          </w:p>
        </w:tc>
        <w:tc>
          <w:tcPr/>
          <w:p>
            <w:pPr>
              <w:pStyle w:val="Compact"/>
              <w:jc w:val="left"/>
            </w:pPr>
            <w:r>
              <w:t xml:space="preserve">1,380,000,000</w:t>
            </w:r>
          </w:p>
        </w:tc>
      </w:tr>
      <w:tr>
        <w:tc>
          <w:tcPr/>
          <w:p>
            <w:pPr>
              <w:pStyle w:val="Compact"/>
              <w:jc w:val="left"/>
            </w:pPr>
            <w:r>
              <w:t xml:space="preserve">4</w:t>
            </w:r>
          </w:p>
        </w:tc>
        <w:tc>
          <w:tcPr/>
          <w:p>
            <w:pPr>
              <w:pStyle w:val="Compact"/>
              <w:jc w:val="left"/>
            </w:pPr>
            <w:r>
              <w:t xml:space="preserve">Diplomat Reception Desk &amp; Lobby Seating Ensemble – Model "Monas Grand" (marble top, brass accents, 6-seat lounge)</w:t>
            </w:r>
          </w:p>
        </w:tc>
        <w:tc>
          <w:tcPr/>
          <w:p>
            <w:pPr>
              <w:pStyle w:val="Compact"/>
              <w:jc w:val="left"/>
            </w:pPr>
            <w:r>
              <w:t xml:space="preserve">1</w:t>
            </w:r>
          </w:p>
        </w:tc>
        <w:tc>
          <w:tcPr/>
          <w:p>
            <w:pPr>
              <w:pStyle w:val="Compact"/>
              <w:jc w:val="left"/>
            </w:pPr>
            <w:r>
              <w:t xml:space="preserve">Set</w:t>
            </w:r>
          </w:p>
        </w:tc>
        <w:tc>
          <w:tcPr/>
          <w:p>
            <w:pPr>
              <w:pStyle w:val="Compact"/>
              <w:jc w:val="left"/>
            </w:pPr>
            <w:r>
              <w:t xml:space="preserve">220,000,000</w:t>
            </w:r>
          </w:p>
        </w:tc>
        <w:tc>
          <w:tcPr/>
          <w:p>
            <w:pPr>
              <w:pStyle w:val="Compact"/>
              <w:jc w:val="left"/>
            </w:pPr>
            <w:r>
              <w:t xml:space="preserve">220,000,000</w:t>
            </w:r>
          </w:p>
        </w:tc>
      </w:tr>
      <w:tr>
        <w:tc>
          <w:tcPr/>
          <w:p>
            <w:pPr>
              <w:pStyle w:val="Compact"/>
              <w:jc w:val="left"/>
            </w:pPr>
            <w:r>
              <w:t xml:space="preserve">5</w:t>
            </w:r>
          </w:p>
        </w:tc>
        <w:tc>
          <w:tcPr/>
          <w:p>
            <w:pPr>
              <w:pStyle w:val="Compact"/>
              <w:jc w:val="left"/>
            </w:pPr>
            <w:r>
              <w:t xml:space="preserve">Diplomat Acoustic Wall Panels &amp; Ceiling Baffles – Model "Tangerang Sound" (PET felt, 12mm, custom-cut for Jakarta HQ layout)</w:t>
            </w:r>
          </w:p>
        </w:tc>
        <w:tc>
          <w:tcPr/>
          <w:p>
            <w:pPr>
              <w:pStyle w:val="Compact"/>
              <w:jc w:val="left"/>
            </w:pPr>
            <w:r>
              <w:t xml:space="preserve">1,200</w:t>
            </w:r>
          </w:p>
        </w:tc>
        <w:tc>
          <w:tcPr/>
          <w:p>
            <w:pPr>
              <w:pStyle w:val="Compact"/>
              <w:jc w:val="left"/>
            </w:pPr>
            <w:r>
              <w:t xml:space="preserve">Sqm</w:t>
            </w:r>
          </w:p>
        </w:tc>
        <w:tc>
          <w:tcPr/>
          <w:p>
            <w:pPr>
              <w:pStyle w:val="Compact"/>
              <w:jc w:val="left"/>
            </w:pPr>
            <w:r>
              <w:t xml:space="preserve">850,000</w:t>
            </w:r>
          </w:p>
        </w:tc>
        <w:tc>
          <w:tcPr/>
          <w:p>
            <w:pPr>
              <w:pStyle w:val="Compact"/>
              <w:jc w:val="left"/>
            </w:pPr>
            <w:r>
              <w:t xml:space="preserve">1,020,000,000</w:t>
            </w:r>
          </w:p>
        </w:tc>
      </w:tr>
      <w:tr>
        <w:tc>
          <w:tcPr/>
          <w:p>
            <w:pPr>
              <w:pStyle w:val="Compact"/>
              <w:jc w:val="left"/>
            </w:pPr>
            <w:r>
              <w:t xml:space="preserve">6</w:t>
            </w:r>
          </w:p>
        </w:tc>
        <w:tc>
          <w:tcPr/>
          <w:p>
            <w:pPr>
              <w:pStyle w:val="Compact"/>
              <w:jc w:val="left"/>
            </w:pPr>
            <w:r>
              <w:t xml:space="preserve">Diplomat Storage &amp; Filing Systems – Model "Semarang Vault" (steel, fire-rated, 4-drawer, lockable)</w:t>
            </w:r>
          </w:p>
        </w:tc>
        <w:tc>
          <w:tcPr/>
          <w:p>
            <w:pPr>
              <w:pStyle w:val="Compact"/>
              <w:jc w:val="left"/>
            </w:pPr>
            <w:r>
              <w:t xml:space="preserve">60</w:t>
            </w:r>
          </w:p>
        </w:tc>
        <w:tc>
          <w:tcPr/>
          <w:p>
            <w:pPr>
              <w:pStyle w:val="Compact"/>
              <w:jc w:val="left"/>
            </w:pPr>
            <w:r>
              <w:t xml:space="preserve">Unit</w:t>
            </w:r>
          </w:p>
        </w:tc>
        <w:tc>
          <w:tcPr/>
          <w:p>
            <w:pPr>
              <w:pStyle w:val="Compact"/>
              <w:jc w:val="left"/>
            </w:pPr>
            <w:r>
              <w:t xml:space="preserve">6,800,000</w:t>
            </w:r>
          </w:p>
        </w:tc>
        <w:tc>
          <w:tcPr/>
          <w:p>
            <w:pPr>
              <w:pStyle w:val="Compact"/>
              <w:jc w:val="left"/>
            </w:pPr>
            <w:r>
              <w:t xml:space="preserve">408,000,000</w:t>
            </w:r>
          </w:p>
        </w:tc>
      </w:tr>
      <w:tr>
        <w:tc>
          <w:tcPr/>
          <w:p>
            <w:pPr>
              <w:pStyle w:val="Compact"/>
              <w:jc w:val="left"/>
            </w:pPr>
            <w:r>
              <w:t xml:space="preserve">7</w:t>
            </w:r>
          </w:p>
        </w:tc>
        <w:tc>
          <w:tcPr/>
          <w:p>
            <w:pPr>
              <w:pStyle w:val="Compact"/>
              <w:jc w:val="left"/>
            </w:pPr>
            <w:r>
              <w:t xml:space="preserve">Diplomat Conference Room AV-Integrated Furniture Package (table, 12 chairs, credenza, screen wall)</w:t>
            </w:r>
          </w:p>
        </w:tc>
        <w:tc>
          <w:tcPr/>
          <w:p>
            <w:pPr>
              <w:pStyle w:val="Compact"/>
              <w:jc w:val="left"/>
            </w:pPr>
            <w:r>
              <w:t xml:space="preserve">3</w:t>
            </w:r>
          </w:p>
        </w:tc>
        <w:tc>
          <w:tcPr/>
          <w:p>
            <w:pPr>
              <w:pStyle w:val="Compact"/>
              <w:jc w:val="left"/>
            </w:pPr>
            <w:r>
              <w:t xml:space="preserve">Room</w:t>
            </w:r>
          </w:p>
        </w:tc>
        <w:tc>
          <w:tcPr/>
          <w:p>
            <w:pPr>
              <w:pStyle w:val="Compact"/>
              <w:jc w:val="left"/>
            </w:pPr>
            <w:r>
              <w:t xml:space="preserve">95,000,000</w:t>
            </w:r>
          </w:p>
        </w:tc>
        <w:tc>
          <w:tcPr/>
          <w:p>
            <w:pPr>
              <w:pStyle w:val="Compact"/>
              <w:jc w:val="left"/>
            </w:pPr>
            <w:r>
              <w:t xml:space="preserve">285,000,000</w:t>
            </w:r>
          </w:p>
        </w:tc>
      </w:tr>
      <w:tr>
        <w:tc>
          <w:tcPr/>
          <w:p>
            <w:pPr>
              <w:pStyle w:val="Compact"/>
              <w:jc w:val="left"/>
            </w:pPr>
            <w:r>
              <w:t xml:space="preserve">8</w:t>
            </w:r>
          </w:p>
        </w:tc>
        <w:tc>
          <w:tcPr/>
          <w:p>
            <w:pPr>
              <w:pStyle w:val="Compact"/>
              <w:jc w:val="left"/>
            </w:pPr>
            <w:r>
              <w:t xml:space="preserve">Professional Installation, Assembly &amp; Commissioning Services (Jakarta site, 12-week schedule)</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t xml:space="preserve">9</w:t>
            </w:r>
          </w:p>
        </w:tc>
        <w:tc>
          <w:tcPr/>
          <w:p>
            <w:pPr>
              <w:pStyle w:val="Compact"/>
              <w:jc w:val="left"/>
            </w:pPr>
            <w:r>
              <w:t xml:space="preserve">Logistics, Freight &amp; Insurance – Factory to Jakarta Selatan delivery (crated, insured, white-glove)</w:t>
            </w:r>
          </w:p>
        </w:tc>
        <w:tc>
          <w:tcPr/>
          <w:p>
            <w:pPr>
              <w:pStyle w:val="Compact"/>
              <w:jc w:val="left"/>
            </w:pPr>
            <w:r>
              <w:t xml:space="preserve">1</w:t>
            </w:r>
          </w:p>
        </w:tc>
        <w:tc>
          <w:tcPr/>
          <w:p>
            <w:pPr>
              <w:pStyle w:val="Compact"/>
              <w:jc w:val="left"/>
            </w:pPr>
            <w:r>
              <w:t xml:space="preserve">Lot</w:t>
            </w:r>
          </w:p>
        </w:tc>
        <w:tc>
          <w:tcPr/>
          <w:p>
            <w:pPr>
              <w:pStyle w:val="Compact"/>
              <w:jc w:val="left"/>
            </w:pPr>
            <w:r>
              <w:t xml:space="preserve">75,000,000</w:t>
            </w:r>
          </w:p>
        </w:tc>
        <w:tc>
          <w:tcPr/>
          <w:p>
            <w:pPr>
              <w:pStyle w:val="Compact"/>
              <w:jc w:val="left"/>
            </w:pPr>
            <w:r>
              <w:t xml:space="preserve">75,000,000</w:t>
            </w:r>
          </w:p>
        </w:tc>
      </w:tr>
      <w:tr>
        <w:tc>
          <w:tcPr>
            <w:gridSpan w:val="5"/>
          </w:tcPr>
          <w:p>
            <w:pPr>
              <w:pStyle w:val="Compact"/>
              <w:jc w:val="right"/>
            </w:pPr>
            <w:r>
              <w:t xml:space="preserve">Subtotal (before tax)</w:t>
            </w:r>
          </w:p>
        </w:tc>
        <w:tc>
          <w:tcPr/>
          <w:p>
            <w:pPr>
              <w:pStyle w:val="Compact"/>
              <w:jc w:val="left"/>
            </w:pPr>
            <w:r>
              <w:t xml:space="preserve">4,208,000,000</w:t>
            </w:r>
          </w:p>
        </w:tc>
      </w:tr>
      <w:tr>
        <w:tc>
          <w:tcPr>
            <w:gridSpan w:val="5"/>
          </w:tcPr>
          <w:p>
            <w:pPr>
              <w:pStyle w:val="Compact"/>
              <w:jc w:val="right"/>
            </w:pPr>
            <w:r>
              <w:t xml:space="preserve">VAT (PPN) 11% – Indonesia</w:t>
            </w:r>
          </w:p>
        </w:tc>
        <w:tc>
          <w:tcPr/>
          <w:p>
            <w:pPr>
              <w:pStyle w:val="Compact"/>
              <w:jc w:val="left"/>
            </w:pPr>
            <w:r>
              <w:t xml:space="preserve">462,880,000</w:t>
            </w:r>
          </w:p>
        </w:tc>
      </w:tr>
      <w:tr>
        <w:tc>
          <w:tcPr>
            <w:gridSpan w:val="5"/>
          </w:tcPr>
          <w:p>
            <w:pPr>
              <w:pStyle w:val="Compact"/>
              <w:jc w:val="right"/>
            </w:pPr>
            <w:r>
              <w:t xml:space="preserve">GRAND TOTAL (IDR)</w:t>
            </w:r>
          </w:p>
        </w:tc>
        <w:tc>
          <w:tcPr/>
          <w:p>
            <w:pPr>
              <w:pStyle w:val="Compact"/>
              <w:jc w:val="left"/>
            </w:pPr>
            <w:r>
              <w:t xml:space="preserve">4,670,880,000</w:t>
            </w:r>
          </w:p>
        </w:tc>
      </w:tr>
    </w:tbl>
    <w:p>
      <w:pPr>
        <w:pStyle w:val="BodyText"/>
      </w:pPr>
      <w:r>
        <w:rPr>
          <w:iCs/>
          <w:i/>
        </w:rPr>
        <w:t xml:space="preserve">Total in words: Four Billion Six Hundred Seventy Million Eight Hundred Eighty Thousand Indonesian Rupiah only.</w:t>
      </w:r>
    </w:p>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 valid for thirty (30) calendar days from the date of issue. After the expiry date, pricing for Diplomat products and services is subject to revision based on material costs, exchange rates, and availability within the Indonesia Jakarta market.</w:t>
      </w:r>
    </w:p>
    <w:p>
      <w:pPr>
        <w:pStyle w:val="BodyText"/>
      </w:pPr>
      <w:r>
        <w:rPr>
          <w:bCs/>
          <w:b/>
        </w:rPr>
        <w:t xml:space="preserve">2. Payment Terms:</w:t>
      </w:r>
      <w:r>
        <w:t xml:space="preserve"> </w:t>
      </w:r>
      <w:r>
        <w:t xml:space="preserve">40% advance payment upon signing of the Purchase Order; 40% upon delivery of all Diplomat items to the Jakarta site; 20% upon successful completion of installation and client sign-off. All payments shall be made in Indonesian Rupiah (IDR) via bank transfer to the account of PT Diplomat Interior Solutions, Bank Mandiri, Jakarta branch.</w:t>
      </w:r>
    </w:p>
    <w:p>
      <w:pPr>
        <w:pStyle w:val="BodyText"/>
      </w:pPr>
      <w:r>
        <w:rPr>
          <w:bCs/>
          <w:b/>
        </w:rPr>
        <w:t xml:space="preserve">3. Delivery &amp; Installation:</w:t>
      </w:r>
      <w:r>
        <w:t xml:space="preserve"> </w:t>
      </w:r>
      <w:r>
        <w:t xml:space="preserve">All Diplomat products shall be delivered to the designated site in Kuningan, Jakarta Selatan within eight (8) weeks of receipt of the advance payment. Installation and commissioning shall be completed within a further four (4) weeks, subject to site readiness and access permits issued by the building management in Indonesia Jakarta.</w:t>
      </w:r>
    </w:p>
    <w:p>
      <w:pPr>
        <w:pStyle w:val="BodyText"/>
      </w:pPr>
      <w:r>
        <w:rPr>
          <w:bCs/>
          <w:b/>
        </w:rPr>
        <w:t xml:space="preserve">4. Warranty:</w:t>
      </w:r>
      <w:r>
        <w:t xml:space="preserve"> </w:t>
      </w:r>
      <w:r>
        <w:t xml:space="preserve">All Diplomat furniture and interior systems carry a minimum five (5) year manufacturer's warranty against defects in materials and workmanship. Acoustic panels carry a three (3) year warranty. Warranty service will be provided by our dedicated Jakarta service team.</w:t>
      </w:r>
    </w:p>
    <w:p>
      <w:pPr>
        <w:pStyle w:val="BodyText"/>
      </w:pPr>
      <w:r>
        <w:rPr>
          <w:bCs/>
          <w:b/>
        </w:rPr>
        <w:t xml:space="preserve">5. Cancellation &amp; Changes:</w:t>
      </w:r>
      <w:r>
        <w:t xml:space="preserve"> </w:t>
      </w:r>
      <w:r>
        <w:t xml:space="preserve">Cancellation after the advance payment has been received will incur a 15% penalty. Any changes to the Diplomat product specifications, quantities, or layout after the Purchase Order is signed will be subject to a revised Quotation Estimate and mutual written agreement.</w:t>
      </w:r>
    </w:p>
    <w:p>
      <w:pPr>
        <w:pStyle w:val="BodyText"/>
      </w:pPr>
      <w:r>
        <w:rPr>
          <w:bCs/>
          <w:b/>
        </w:rPr>
        <w:t xml:space="preserve">6. Compliance:</w:t>
      </w:r>
      <w:r>
        <w:t xml:space="preserve"> </w:t>
      </w:r>
      <w:r>
        <w:t xml:space="preserve">All Diplomat products supplied under this Quotation Estimate comply with Indonesian national standards (SNI), fire safety regulations (SNI 03-1746), and occupational health and safety requirements applicable in Indonesia Jakarta. Certificates of conformity will be provided upon delivery.</w:t>
      </w:r>
    </w:p>
    <w:p>
      <w:pPr>
        <w:pStyle w:val="BodyText"/>
      </w:pPr>
      <w:r>
        <w:rPr>
          <w:bCs/>
          <w:b/>
        </w:rPr>
        <w:t xml:space="preserve">7. Dispute Resolution:</w:t>
      </w:r>
      <w:r>
        <w:t xml:space="preserve"> </w:t>
      </w:r>
      <w:r>
        <w:t xml:space="preserve">Any disputes arising from this Quotation Estimate and the subsequent contract shall be resolved through mediation in Jakarta, Indonesia, in accordance with the laws of the Republic of Indonesia.</w:t>
      </w:r>
    </w:p>
    <w:p>
      <w:pPr>
        <w:pStyle w:val="BodyText"/>
      </w:pPr>
      <w:r>
        <w:t xml:space="preserve">Acceptance &amp; Authorization</w:t>
      </w:r>
    </w:p>
    <w:p>
      <w:pPr>
        <w:pStyle w:val="BodyText"/>
      </w:pPr>
      <w:r>
        <w:t xml:space="preserve">By signing below, both parties acknowledge and accept the terms, pricing, and scope outlined in this Quotation Estimate for the Diplomat premium office fit-out project in Indonesia Jakarta. This document, once countersigned, shall serve as the basis for the formal Purchase Order and Service Agreement.</w:t>
      </w:r>
    </w:p>
    <w:p>
      <w:pPr>
        <w:pStyle w:val="BodyText"/>
      </w:pPr>
      <w:r>
        <w:rPr>
          <w:bCs/>
          <w:b/>
        </w:rPr>
        <w:t xml:space="preserve">For &amp; On Behalf of</w:t>
      </w:r>
    </w:p>
    <w:p>
      <w:pPr>
        <w:pStyle w:val="BodyText"/>
      </w:pPr>
      <w:r>
        <w:rPr>
          <w:bCs/>
          <w:b/>
        </w:rPr>
        <w:t xml:space="preserve">PT Diplomat Interior Solutions</w:t>
      </w:r>
    </w:p>
    <w:p>
      <w:pPr>
        <w:pStyle w:val="BodyText"/>
      </w:pPr>
      <w:r>
        <w:rPr>
          <w:bCs/>
          <w:b/>
        </w:rPr>
        <w:t xml:space="preserve">Andi Wijaya</w:t>
      </w:r>
      <w:r>
        <w:br/>
      </w:r>
      <w:r>
        <w:t xml:space="preserve">Director of Sales &amp; Operations</w:t>
      </w:r>
      <w:r>
        <w:br/>
      </w:r>
      <w:r>
        <w:t xml:space="preserve">Date: _______________</w:t>
      </w:r>
    </w:p>
    <w:p>
      <w:pPr>
        <w:pStyle w:val="BodyText"/>
      </w:pPr>
      <w:r>
        <w:rPr>
          <w:bCs/>
          <w:b/>
        </w:rPr>
        <w:t xml:space="preserve">For &amp; On Behalf of</w:t>
      </w:r>
    </w:p>
    <w:p>
      <w:pPr>
        <w:pStyle w:val="BodyText"/>
      </w:pPr>
      <w:r>
        <w:rPr>
          <w:bCs/>
          <w:b/>
        </w:rPr>
        <w:t xml:space="preserve">PT Nusantara Corporate Group</w:t>
      </w:r>
    </w:p>
    <w:p>
      <w:pPr>
        <w:pStyle w:val="BodyText"/>
      </w:pPr>
      <w:r>
        <w:rPr>
          <w:bCs/>
          <w:b/>
        </w:rPr>
        <w:t xml:space="preserve">Budi Santoso</w:t>
      </w:r>
      <w:r>
        <w:br/>
      </w:r>
      <w:r>
        <w:t xml:space="preserve">Head of Procurement</w:t>
      </w:r>
      <w:r>
        <w:br/>
      </w:r>
      <w:r>
        <w:t xml:space="preserve">Date: _______________</w:t>
      </w:r>
    </w:p>
    <w:p>
      <w:pPr>
        <w:pStyle w:val="BodyText"/>
      </w:pPr>
      <w:r>
        <w:t xml:space="preserve">This Quotation Estimate (Ref: QTE-DIP-2025-0847) is issued by PT Diplomat Interior Solutions for the Diplomat premium office fit-out project in Indonesia Jakarta. This document is confidential and intended solely for the named recipient. Unauthorized reproduction or distribution is prohibited. © 2025 PT Diplomat Interior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Indonesia Jakarta</dc:title>
  <dc:creator/>
  <dc:language>en</dc:language>
  <cp:keywords/>
  <dcterms:created xsi:type="dcterms:W3CDTF">2026-10-10T06:53:54Z</dcterms:created>
  <dcterms:modified xsi:type="dcterms:W3CDTF">2026-10-10T06:53:54Z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