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Diplomat Diplomatic Services &amp; Protocol Consulting</w:t>
      </w:r>
    </w:p>
    <w:p>
      <w:pPr>
        <w:pStyle w:val="BodyText"/>
      </w:pPr>
      <w:r>
        <w:t xml:space="preserve">Riyadh, Saudi Arabia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Reference No.</w:t>
            </w:r>
          </w:p>
        </w:tc>
        <w:tc>
          <w:tcPr/>
          <w:p>
            <w:pPr>
              <w:pStyle w:val="Compact"/>
              <w:jc w:val="left"/>
            </w:pPr>
            <w:r>
              <w:t xml:space="preserve">DIP-RIY-2025-04871</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Saudi Riyal (SAR)</w:t>
            </w:r>
          </w:p>
        </w:tc>
      </w:tr>
      <w:tr>
        <w:tc>
          <w:tcPr/>
          <w:p>
            <w:pPr>
              <w:pStyle w:val="Compact"/>
              <w:jc w:val="left"/>
            </w:pPr>
            <w:r>
              <w:t xml:space="preserve">Prepared By</w:t>
            </w:r>
          </w:p>
        </w:tc>
        <w:tc>
          <w:tcPr/>
          <w:p>
            <w:pPr>
              <w:pStyle w:val="Compact"/>
              <w:jc w:val="left"/>
            </w:pPr>
            <w:r>
              <w:t xml:space="preserve">Diplomat Diplomatic Services &amp; Protocol Consulting, Riyadh, Saudi Arabia</w:t>
            </w:r>
          </w:p>
        </w:tc>
        <w:tc>
          <w:tcPr/>
          <w:p>
            <w:pPr>
              <w:pStyle w:val="Compact"/>
              <w:jc w:val="left"/>
            </w:pPr>
            <w:r>
              <w:t xml:space="preserve">Client</w:t>
            </w:r>
          </w:p>
        </w:tc>
        <w:tc>
          <w:tcPr/>
          <w:p>
            <w:pPr>
              <w:pStyle w:val="Compact"/>
              <w:jc w:val="left"/>
            </w:pPr>
            <w:r>
              <w:t xml:space="preserve">[Client Name / Organization]</w:t>
            </w:r>
          </w:p>
        </w:tc>
      </w:tr>
      <w:tr>
        <w:tc>
          <w:tcPr/>
          <w:p>
            <w:pPr>
              <w:pStyle w:val="Compact"/>
              <w:jc w:val="left"/>
            </w:pPr>
            <w:r>
              <w:t xml:space="preserve">Client Address</w:t>
            </w:r>
          </w:p>
        </w:tc>
        <w:tc>
          <w:tcPr/>
          <w:p>
            <w:pPr>
              <w:pStyle w:val="Compact"/>
              <w:jc w:val="left"/>
            </w:pPr>
            <w:r>
              <w:t xml:space="preserve">[Street, District], Riyadh, Saudi Arabia</w:t>
            </w:r>
          </w:p>
        </w:tc>
        <w:tc>
          <w:tcPr/>
          <w:p>
            <w:pPr>
              <w:pStyle w:val="Compact"/>
              <w:jc w:val="left"/>
            </w:pPr>
            <w:r>
              <w:t xml:space="preserve">Contact Person</w:t>
            </w:r>
          </w:p>
        </w:tc>
        <w:tc>
          <w:tcPr/>
          <w:p>
            <w:pPr>
              <w:pStyle w:val="Compact"/>
              <w:jc w:val="left"/>
            </w:pPr>
            <w:r>
              <w:t xml:space="preserve">[Name, Title, Phone, Email]</w:t>
            </w:r>
          </w:p>
        </w:tc>
      </w:tr>
    </w:tbl>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w:t>
      </w:r>
      <w:r>
        <w:t xml:space="preserve"> </w:t>
      </w:r>
      <w:r>
        <w:t xml:space="preserve">Diplomat</w:t>
      </w:r>
      <w:r>
        <w:t xml:space="preserve"> </w:t>
      </w:r>
      <w:r>
        <w:t xml:space="preserve">Diplomatic Services &amp; Protocol Consulting, a specialized firm headquartered in</w:t>
      </w:r>
      <w:r>
        <w:t xml:space="preserve"> </w:t>
      </w:r>
      <w:r>
        <w:t xml:space="preserve">Saudi Arabia Riyadh</w:t>
      </w:r>
      <w:r>
        <w:t xml:space="preserve">, to provide a comprehensive and itemized financial estimate for the full suite of diplomatic support services requested by the client. Diplomat has been operating in the Kingdom of Saudi Arabia for over fifteen years, serving government ministries, international organizations, multinational corporations, and private entities that require expert diplomatic protocol, event management, translation, and security coordination within the capital city of Riyadh and its surrounding regions.</w:t>
      </w:r>
    </w:p>
    <w:p>
      <w:pPr>
        <w:pStyle w:val="BodyText"/>
      </w:pPr>
      <w:r>
        <w:t xml:space="preserve">The scope of work outlined in this Quotation Estimate encompasses all services necessary to support the client's upcoming diplomatic engagement, including but not limited to protocol advisory, multilingual interpretation, venue coordination, security logistics, and post-event documentation. All services will be delivered in strict compliance with the regulations of the Saudi Ministry of Foreign Affairs, the National Security Agency protocols, and the applicable laws of the Kingdom of Saudi Arabia.</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(SAR)</w:t>
            </w:r>
          </w:p>
        </w:tc>
        <w:tc>
          <w:tcPr/>
          <w:p>
            <w:pPr>
              <w:pStyle w:val="Compact"/>
              <w:jc w:val="left"/>
            </w:pPr>
            <w:r>
              <w:t xml:space="preserve">Total (SAR)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Diplomatic Protocol Advisory &amp; Briefing (Senior Protocol Officer, Diplomat Riyadh Office)</w:t>
            </w:r>
          </w:p>
        </w:tc>
        <w:tc>
          <w:tcPr/>
          <w:p>
            <w:pPr>
              <w:pStyle w:val="Compact"/>
              <w:jc w:val="left"/>
            </w:pPr>
            <w:r>
              <w:t xml:space="preserve">5 days</w:t>
            </w:r>
          </w:p>
        </w:tc>
        <w:tc>
          <w:tcPr/>
          <w:p>
            <w:pPr>
              <w:pStyle w:val="Compact"/>
              <w:jc w:val="left"/>
            </w:pPr>
            <w:r>
              <w:t xml:space="preserve">4,500</w:t>
            </w:r>
          </w:p>
        </w:tc>
        <w:tc>
          <w:tcPr/>
          <w:p>
            <w:pPr>
              <w:pStyle w:val="Compact"/>
              <w:jc w:val="left"/>
            </w:pPr>
            <w:r>
              <w:t xml:space="preserve">22,500</w:t>
            </w:r>
          </w:p>
        </w:tc>
        <w:tc>
          <w:tcPr/>
          <w:p>
            <w:pPr>
              <w:pStyle w:val="Compact"/>
              <w:jc w:val="left"/>
            </w:pPr>
            <w:r>
              <w:t xml:space="preserve">On-site in Riyadh</w:t>
            </w:r>
          </w:p>
        </w:tc>
      </w:tr>
      <w:tr>
        <w:tc>
          <w:tcPr/>
          <w:p>
            <w:pPr>
              <w:pStyle w:val="Compact"/>
              <w:jc w:val="left"/>
            </w:pPr>
            <w:r>
              <w:t xml:space="preserve">2</w:t>
            </w:r>
          </w:p>
        </w:tc>
        <w:tc>
          <w:tcPr/>
          <w:p>
            <w:pPr>
              <w:pStyle w:val="Compact"/>
              <w:jc w:val="left"/>
            </w:pPr>
            <w:r>
              <w:t xml:space="preserve">Simultaneous Interpretation – Arabic / English / French (3 certified interpreters)</w:t>
            </w:r>
          </w:p>
        </w:tc>
        <w:tc>
          <w:tcPr/>
          <w:p>
            <w:pPr>
              <w:pStyle w:val="Compact"/>
              <w:jc w:val="left"/>
            </w:pPr>
            <w:r>
              <w:t xml:space="preserve">3 days</w:t>
            </w:r>
          </w:p>
        </w:tc>
        <w:tc>
          <w:tcPr/>
          <w:p>
            <w:pPr>
              <w:pStyle w:val="Compact"/>
              <w:jc w:val="left"/>
            </w:pPr>
            <w:r>
              <w:t xml:space="preserve">6,000</w:t>
            </w:r>
          </w:p>
        </w:tc>
        <w:tc>
          <w:tcPr/>
          <w:p>
            <w:pPr>
              <w:pStyle w:val="Compact"/>
              <w:jc w:val="left"/>
            </w:pPr>
            <w:r>
              <w:t xml:space="preserve">18,000</w:t>
            </w:r>
          </w:p>
        </w:tc>
        <w:tc>
          <w:tcPr/>
          <w:p>
            <w:pPr>
              <w:pStyle w:val="Compact"/>
              <w:jc w:val="left"/>
            </w:pPr>
            <w:r>
              <w:t xml:space="preserve">Equipment included</w:t>
            </w:r>
          </w:p>
        </w:tc>
      </w:tr>
      <w:tr>
        <w:tc>
          <w:tcPr/>
          <w:p>
            <w:pPr>
              <w:pStyle w:val="Compact"/>
              <w:jc w:val="left"/>
            </w:pPr>
            <w:r>
              <w:t xml:space="preserve">3</w:t>
            </w:r>
          </w:p>
        </w:tc>
        <w:tc>
          <w:tcPr/>
          <w:p>
            <w:pPr>
              <w:pStyle w:val="Compact"/>
              <w:jc w:val="left"/>
            </w:pPr>
            <w:r>
              <w:t xml:space="preserve">Diplomatic Event Planning &amp; Coordination (State Reception, Riyadh)</w:t>
            </w:r>
          </w:p>
        </w:tc>
        <w:tc>
          <w:tcPr/>
          <w:p>
            <w:pPr>
              <w:pStyle w:val="Compact"/>
              <w:jc w:val="left"/>
            </w:pPr>
            <w:r>
              <w:t xml:space="preserve">1 event</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Up to 200 guests</w:t>
            </w:r>
          </w:p>
        </w:tc>
      </w:tr>
      <w:tr>
        <w:tc>
          <w:tcPr/>
          <w:p>
            <w:pPr>
              <w:pStyle w:val="Compact"/>
              <w:jc w:val="left"/>
            </w:pPr>
            <w:r>
              <w:t xml:space="preserve">4</w:t>
            </w:r>
          </w:p>
        </w:tc>
        <w:tc>
          <w:tcPr/>
          <w:p>
            <w:pPr>
              <w:pStyle w:val="Compact"/>
              <w:jc w:val="left"/>
            </w:pPr>
            <w:r>
              <w:t xml:space="preserve">Security &amp; Logistics Coordination for Dignitaries (Diplomat Security Division)</w:t>
            </w:r>
          </w:p>
        </w:tc>
        <w:tc>
          <w:tcPr/>
          <w:p>
            <w:pPr>
              <w:pStyle w:val="Compact"/>
              <w:jc w:val="left"/>
            </w:pPr>
            <w:r>
              <w:t xml:space="preserve">7 days</w:t>
            </w:r>
          </w:p>
        </w:tc>
        <w:tc>
          <w:tcPr/>
          <w:p>
            <w:pPr>
              <w:pStyle w:val="Compact"/>
              <w:jc w:val="left"/>
            </w:pPr>
            <w:r>
              <w:t xml:space="preserve">8,500</w:t>
            </w:r>
          </w:p>
        </w:tc>
        <w:tc>
          <w:tcPr/>
          <w:p>
            <w:pPr>
              <w:pStyle w:val="Compact"/>
              <w:jc w:val="left"/>
            </w:pPr>
            <w:r>
              <w:t xml:space="preserve">59,500</w:t>
            </w:r>
          </w:p>
        </w:tc>
        <w:tc>
          <w:tcPr/>
          <w:p>
            <w:pPr>
              <w:pStyle w:val="Compact"/>
              <w:jc w:val="left"/>
            </w:pPr>
            <w:r>
              <w:t xml:space="preserve">4 officers per shift</w:t>
            </w:r>
          </w:p>
        </w:tc>
      </w:tr>
      <w:tr>
        <w:tc>
          <w:tcPr/>
          <w:p>
            <w:pPr>
              <w:pStyle w:val="Compact"/>
              <w:jc w:val="left"/>
            </w:pPr>
            <w:r>
              <w:t xml:space="preserve">5</w:t>
            </w:r>
          </w:p>
        </w:tc>
        <w:tc>
          <w:tcPr/>
          <w:p>
            <w:pPr>
              <w:pStyle w:val="Compact"/>
              <w:jc w:val="left"/>
            </w:pPr>
            <w:r>
              <w:t xml:space="preserve">Official Document Translation &amp; Legalization (Arabic-English, 120 pages)</w:t>
            </w:r>
          </w:p>
        </w:tc>
        <w:tc>
          <w:tcPr/>
          <w:p>
            <w:pPr>
              <w:pStyle w:val="Compact"/>
              <w:jc w:val="left"/>
            </w:pPr>
            <w:r>
              <w:t xml:space="preserve">120 pages</w:t>
            </w:r>
          </w:p>
        </w:tc>
        <w:tc>
          <w:tcPr/>
          <w:p>
            <w:pPr>
              <w:pStyle w:val="Compact"/>
              <w:jc w:val="left"/>
            </w:pPr>
            <w:r>
              <w:t xml:space="preserve">85</w:t>
            </w:r>
          </w:p>
        </w:tc>
        <w:tc>
          <w:tcPr/>
          <w:p>
            <w:pPr>
              <w:pStyle w:val="Compact"/>
              <w:jc w:val="left"/>
            </w:pPr>
            <w:r>
              <w:t xml:space="preserve">10,200</w:t>
            </w:r>
          </w:p>
        </w:tc>
        <w:tc>
          <w:tcPr/>
          <w:p>
            <w:pPr>
              <w:pStyle w:val="Compact"/>
              <w:jc w:val="left"/>
            </w:pPr>
            <w:r>
              <w:t xml:space="preserve">Notarized copies</w:t>
            </w:r>
          </w:p>
        </w:tc>
      </w:tr>
      <w:tr>
        <w:tc>
          <w:tcPr/>
          <w:p>
            <w:pPr>
              <w:pStyle w:val="Compact"/>
              <w:jc w:val="left"/>
            </w:pPr>
            <w:r>
              <w:t xml:space="preserve">6</w:t>
            </w:r>
          </w:p>
        </w:tc>
        <w:tc>
          <w:tcPr/>
          <w:p>
            <w:pPr>
              <w:pStyle w:val="Compact"/>
              <w:jc w:val="left"/>
            </w:pPr>
            <w:r>
              <w:t xml:space="preserve">Transportation &amp; Vehicle Coordination (Diplomatic-grade sedans, Riyadh)</w:t>
            </w:r>
          </w:p>
        </w:tc>
        <w:tc>
          <w:tcPr/>
          <w:p>
            <w:pPr>
              <w:pStyle w:val="Compact"/>
              <w:jc w:val="left"/>
            </w:pPr>
            <w:r>
              <w:t xml:space="preserve">7 days</w:t>
            </w:r>
          </w:p>
        </w:tc>
        <w:tc>
          <w:tcPr/>
          <w:p>
            <w:pPr>
              <w:pStyle w:val="Compact"/>
              <w:jc w:val="left"/>
            </w:pPr>
            <w:r>
              <w:t xml:space="preserve">3,200</w:t>
            </w:r>
          </w:p>
        </w:tc>
        <w:tc>
          <w:tcPr/>
          <w:p>
            <w:pPr>
              <w:pStyle w:val="Compact"/>
              <w:jc w:val="left"/>
            </w:pPr>
            <w:r>
              <w:t xml:space="preserve">22,400</w:t>
            </w:r>
          </w:p>
        </w:tc>
        <w:tc>
          <w:tcPr/>
          <w:p>
            <w:pPr>
              <w:pStyle w:val="Compact"/>
              <w:jc w:val="left"/>
            </w:pPr>
            <w:r>
              <w:t xml:space="preserve">2 vehicles + drivers</w:t>
            </w:r>
          </w:p>
        </w:tc>
      </w:tr>
      <w:tr>
        <w:tc>
          <w:tcPr/>
          <w:p>
            <w:pPr>
              <w:pStyle w:val="Compact"/>
              <w:jc w:val="left"/>
            </w:pPr>
            <w:r>
              <w:t xml:space="preserve">7</w:t>
            </w:r>
          </w:p>
        </w:tc>
        <w:tc>
          <w:tcPr/>
          <w:p>
            <w:pPr>
              <w:pStyle w:val="Compact"/>
              <w:jc w:val="left"/>
            </w:pPr>
            <w:r>
              <w:t xml:space="preserve">Post-Event Documentation &amp; Diplomatic Reporting</w:t>
            </w:r>
          </w:p>
        </w:tc>
        <w:tc>
          <w:tcPr/>
          <w:p>
            <w:pPr>
              <w:pStyle w:val="Compact"/>
              <w:jc w:val="left"/>
            </w:pPr>
            <w:r>
              <w:t xml:space="preserve">1 package</w:t>
            </w:r>
          </w:p>
        </w:tc>
        <w:tc>
          <w:tcPr/>
          <w:p>
            <w:pPr>
              <w:pStyle w:val="Compact"/>
              <w:jc w:val="left"/>
            </w:pPr>
            <w:r>
              <w:t xml:space="preserve">7,500</w:t>
            </w:r>
          </w:p>
        </w:tc>
        <w:tc>
          <w:tcPr/>
          <w:p>
            <w:pPr>
              <w:pStyle w:val="Compact"/>
              <w:jc w:val="left"/>
            </w:pPr>
            <w:r>
              <w:t xml:space="preserve">7,500</w:t>
            </w:r>
          </w:p>
        </w:tc>
        <w:tc>
          <w:tcPr/>
          <w:p>
            <w:pPr>
              <w:pStyle w:val="Compact"/>
              <w:jc w:val="left"/>
            </w:pPr>
            <w:r>
              <w:t xml:space="preserve">Within 5 business days</w:t>
            </w:r>
          </w:p>
        </w:tc>
      </w:tr>
      <w:tr>
        <w:tc>
          <w:tcPr/>
          <w:p>
            <w:pPr>
              <w:pStyle w:val="Compact"/>
              <w:jc w:val="left"/>
            </w:pPr>
            <w:r>
              <w:t xml:space="preserve">8</w:t>
            </w:r>
          </w:p>
        </w:tc>
        <w:tc>
          <w:tcPr/>
          <w:p>
            <w:pPr>
              <w:pStyle w:val="Compact"/>
              <w:jc w:val="left"/>
            </w:pPr>
            <w:r>
              <w:t xml:space="preserve">Contingency &amp; Miscellaneous Administrative Fees</w:t>
            </w:r>
          </w:p>
        </w:tc>
        <w:tc>
          <w:tcPr/>
          <w:p>
            <w:pPr>
              <w:pStyle w:val="Compact"/>
              <w:jc w:val="left"/>
            </w:pPr>
            <w:r>
              <w:t xml:space="preserve">1 package</w:t>
            </w:r>
          </w:p>
        </w:tc>
        <w:tc>
          <w:tcPr/>
          <w:p>
            <w:pPr>
              <w:pStyle w:val="Compact"/>
              <w:jc w:val="left"/>
            </w:pPr>
            <w:r>
              <w:t xml:space="preserve">5,000</w:t>
            </w:r>
          </w:p>
        </w:tc>
        <w:tc>
          <w:tcPr/>
          <w:p>
            <w:pPr>
              <w:pStyle w:val="Compact"/>
              <w:jc w:val="left"/>
            </w:pPr>
            <w:r>
              <w:t xml:space="preserve">5,000</w:t>
            </w:r>
          </w:p>
        </w:tc>
        <w:tc>
          <w:tcPr/>
          <w:p>
            <w:pPr>
              <w:pStyle w:val="Compact"/>
              <w:jc w:val="left"/>
            </w:pPr>
            <w:r>
              <w:t xml:space="preserve">Per Diplomat policy</w:t>
            </w:r>
          </w:p>
        </w:tc>
      </w:tr>
      <w:tr>
        <w:tc>
          <w:tcPr>
            <w:gridSpan w:val="4"/>
          </w:tcPr>
          <w:p>
            <w:pPr>
              <w:pStyle w:val="Compact"/>
              <w:jc w:val="right"/>
            </w:pPr>
            <w:r>
              <w:t xml:space="preserve">SUBTOTAL</w:t>
            </w:r>
          </w:p>
        </w:tc>
        <w:tc>
          <w:tcPr/>
          <w:p>
            <w:pPr>
              <w:pStyle w:val="Compact"/>
              <w:jc w:val="left"/>
            </w:pPr>
            <w:r>
              <w:t xml:space="preserve">180,100</w:t>
            </w:r>
          </w:p>
        </w:tc>
        <w:tc>
          <w:tcPr/>
          <w:p>
            <w:pPr>
              <w:pStyle w:val="Compact"/>
            </w:pPr>
          </w:p>
        </w:tc>
      </w:tr>
      <w:tr>
        <w:tc>
          <w:tcPr>
            <w:gridSpan w:val="4"/>
          </w:tcPr>
          <w:p>
            <w:pPr>
              <w:pStyle w:val="Compact"/>
              <w:jc w:val="right"/>
            </w:pPr>
            <w:r>
              <w:t xml:space="preserve">VAT (15% – Kingdom of Saudi Arabia)</w:t>
            </w:r>
          </w:p>
        </w:tc>
        <w:tc>
          <w:tcPr/>
          <w:p>
            <w:pPr>
              <w:pStyle w:val="Compact"/>
              <w:jc w:val="left"/>
            </w:pPr>
            <w:r>
              <w:t xml:space="preserve">27,015</w:t>
            </w:r>
          </w:p>
        </w:tc>
        <w:tc>
          <w:tcPr/>
          <w:p>
            <w:pPr>
              <w:pStyle w:val="Compact"/>
            </w:pPr>
          </w:p>
        </w:tc>
      </w:tr>
      <w:tr>
        <w:tc>
          <w:tcPr>
            <w:gridSpan w:val="4"/>
          </w:tcPr>
          <w:p>
            <w:pPr>
              <w:pStyle w:val="Compact"/>
              <w:jc w:val="right"/>
            </w:pPr>
            <w:r>
              <w:t xml:space="preserve">GRAND TOTAL</w:t>
            </w:r>
          </w:p>
        </w:tc>
        <w:tc>
          <w:tcPr/>
          <w:p>
            <w:pPr>
              <w:pStyle w:val="Compact"/>
              <w:jc w:val="left"/>
            </w:pPr>
            <w:r>
              <w:t xml:space="preserve">207,115</w:t>
            </w:r>
          </w:p>
        </w:tc>
        <w:tc>
          <w:tcPr/>
          <w:p>
            <w:pPr>
              <w:pStyle w:val="Compact"/>
              <w:jc w:val="left"/>
            </w:pPr>
            <w:r>
              <w:t xml:space="preserve">SAR</w:t>
            </w:r>
          </w:p>
        </w:tc>
      </w:tr>
    </w:tbl>
    <w:p>
      <w:pPr>
        <w:pStyle w:val="BodyText"/>
      </w:pPr>
      <w:r>
        <w:t xml:space="preserve">All amounts are quoted in Saudi Riyal (SAR). VAT at 15% is applied in accordance with the Zakat, Tax and Customs Authority (ZATCA) regulations of the Kingdom of Saudi Arabia. This Quotation Estimate does not include third-party venue rental, catering, or hospitality costs unless explicitly stated.</w:t>
      </w:r>
    </w:p>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a period of thirty (30) calendar days from the date of issue. Beyond this period, Diplomat reserves the right to revise pricing due to market fluctuations, currency adjustments, or changes in operational costs within Saudi Arabia Riyadh.</w:t>
      </w:r>
    </w:p>
    <w:p>
      <w:pPr>
        <w:numPr>
          <w:ilvl w:val="0"/>
          <w:numId w:val="1001"/>
        </w:numPr>
        <w:pStyle w:val="Compact"/>
      </w:pPr>
      <w:r>
        <w:t xml:space="preserve">Payment terms: Fifty percent (50%) advance payment upon acceptance of this Quotation Estimate; the remaining fifty percent (50%) shall be settled within fourteen (14) business days following the successful completion of all services.</w:t>
      </w:r>
    </w:p>
    <w:p>
      <w:pPr>
        <w:numPr>
          <w:ilvl w:val="0"/>
          <w:numId w:val="1001"/>
        </w:numPr>
        <w:pStyle w:val="Compact"/>
      </w:pPr>
      <w:r>
        <w:t xml:space="preserve">All services rendered by Diplomat shall be performed in full compliance with the laws and regulations of the Kingdom of Saudi Arabia, including but not limited to the Anti-Corruption Authority (Nazaha) guidelines and the data protection provisions of the Personal Data Protection Law (PDPL).</w:t>
      </w:r>
    </w:p>
    <w:p>
      <w:pPr>
        <w:numPr>
          <w:ilvl w:val="0"/>
          <w:numId w:val="1001"/>
        </w:numPr>
        <w:pStyle w:val="Compact"/>
      </w:pPr>
      <w:r>
        <w:t xml:space="preserve">Diplomat shall assign a dedicated Project Manager based in Riyadh to serve as the single point of contact for the client throughout the engagement. All communications regarding this Quotation Estimate and subsequent service delivery shall be directed to this officer.</w:t>
      </w:r>
    </w:p>
    <w:p>
      <w:pPr>
        <w:numPr>
          <w:ilvl w:val="0"/>
          <w:numId w:val="1001"/>
        </w:numPr>
        <w:pStyle w:val="Compact"/>
      </w:pPr>
      <w:r>
        <w:t xml:space="preserve">Any changes to the scope of work, additional services, or modifications to the timeline must be approved in writing by both parties. Diplomat will issue a supplementary Quotation Estimate for any such changes prior to execution.</w:t>
      </w:r>
    </w:p>
    <w:p>
      <w:pPr>
        <w:numPr>
          <w:ilvl w:val="0"/>
          <w:numId w:val="1001"/>
        </w:numPr>
        <w:pStyle w:val="Compact"/>
      </w:pPr>
      <w:r>
        <w:t xml:space="preserve">Diplomat shall maintain full confidentiality of all information, documents, and communications received in the course of this engagement. A Non-Disclosure Agreement (NDA) shall be executed prior to the commencement of services.</w:t>
      </w:r>
    </w:p>
    <w:p>
      <w:pPr>
        <w:numPr>
          <w:ilvl w:val="0"/>
          <w:numId w:val="1001"/>
        </w:numPr>
        <w:pStyle w:val="Compact"/>
      </w:pPr>
      <w:r>
        <w:t xml:space="preserve">This Quotation Estimate does not constitute a binding contract until formally accepted in writing by the client and countersigned by an authorized representative of Diplomat Diplomatic Services &amp; Protocol Consulting, Riyadh, Saudi Arabia.</w:t>
      </w:r>
    </w:p>
    <w:p>
      <w:pPr>
        <w:numPr>
          <w:ilvl w:val="0"/>
          <w:numId w:val="1001"/>
        </w:numPr>
        <w:pStyle w:val="Compact"/>
      </w:pPr>
      <w:r>
        <w:t xml:space="preserve">Force majeure events, including but not limited to government-mandated closures, natural disasters, or public health emergencies declared by the Saudi government, shall relieve Diplomat of its obligations under this Quotation Estimate without penalty to either party.</w:t>
      </w:r>
    </w:p>
    <w:p>
      <w:pPr>
        <w:numPr>
          <w:ilvl w:val="0"/>
          <w:numId w:val="1001"/>
        </w:numPr>
        <w:pStyle w:val="Compact"/>
      </w:pPr>
      <w:r>
        <w:t xml:space="preserve">Disputes arising from this Quotation Estimate or the services herein shall be resolved through amicable negotiation. Should negotiation fail, the matter shall be referred to the competent courts of Riyadh, Kingdom of Saudi Arabia, in accordance with Saudi law.</w:t>
      </w:r>
    </w:p>
    <w:bookmarkEnd w:id="23"/>
    <w:bookmarkStart w:id="24" w:name="acceptance-and-authorization"/>
    <w:p>
      <w:pPr>
        <w:pStyle w:val="Heading2"/>
      </w:pPr>
      <w:r>
        <w:t xml:space="preserve">4. Acceptance and Authorization</w:t>
      </w:r>
    </w:p>
    <w:p>
      <w:pPr>
        <w:pStyle w:val="FirstParagraph"/>
      </w:pPr>
      <w:r>
        <w:t xml:space="preserve">By signing below, the client acknowledges and accepts the terms, conditions, and financial estimates set forth in this Quotation Estimate issued by Diplomat Diplomatic Services &amp; Protocol Consulting, Riyadh, Saudi Arabia. The client confirms that all information provided has been reviewed and understood, and that the services described herein meet the client's requirements for the diplomatic engagement in Saudi Arabia Riyadh.</w:t>
      </w:r>
    </w:p>
    <w:p>
      <w:pPr>
        <w:pStyle w:val="BodyText"/>
      </w:pPr>
      <w:r>
        <w:rPr>
          <w:bCs/>
          <w:b/>
        </w:rPr>
        <w:t xml:space="preserve">For Diplomat Diplomatic Services &amp; Protocol Consulting</w:t>
      </w:r>
    </w:p>
    <w:p>
      <w:pPr>
        <w:pStyle w:val="BodyText"/>
      </w:pPr>
      <w:r>
        <w:t xml:space="preserve">Name: _________________________</w:t>
      </w:r>
      <w:r>
        <w:br/>
      </w:r>
      <w:r>
        <w:t xml:space="preserve">Title: General Manager, Riyadh Office</w:t>
      </w:r>
      <w:r>
        <w:br/>
      </w:r>
      <w:r>
        <w:t xml:space="preserve">Signature &amp; Date: _________________________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t xml:space="preserve">Diplomat Diplomatic Services &amp; Protocol Consulting | King Fahd Road, Al Olaya District, Riyadh 12213, Saudi Arabia</w:t>
      </w:r>
    </w:p>
    <w:p>
      <w:pPr>
        <w:pStyle w:val="BodyText"/>
      </w:pPr>
      <w:r>
        <w:t xml:space="preserve">CR: 1010XXXXXX | VAT Reg. No: 31XXXXXXX0003 | Tel: +966 11 XXX XXXX | Email: quotations@diplomat-riyadh.sa</w:t>
      </w:r>
    </w:p>
    <w:p>
      <w:pPr>
        <w:pStyle w:val="BodyText"/>
      </w:pPr>
      <w:r>
        <w:t xml:space="preserve">This Quotation Estimate is the property of Diplomat and is issued exclusively for the client named herein. Unauthorized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Services - Saudi Arabia Riyadh</dc:title>
  <dc:creator/>
  <dc:language>en</dc:language>
  <cp:keywords/>
  <dcterms:created xsi:type="dcterms:W3CDTF">2026-10-10T09:13:47Z</dcterms:created>
  <dcterms:modified xsi:type="dcterms:W3CDTF">2026-10-10T09:13:47Z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