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Diplomat Integrated Security &amp; Communications Platform</w:t>
      </w:r>
    </w:p>
    <w:p>
      <w:pPr>
        <w:pStyle w:val="BodyText"/>
      </w:pPr>
      <w:r>
        <w:t xml:space="preserve">Uzbekistan Tashkent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QTE-2025-UZ-TSK-0472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Global Solutions Ltd., London, United Kingdom</w:t>
            </w:r>
          </w:p>
        </w:tc>
        <w:tc>
          <w:tcPr/>
          <w:p>
            <w:pPr>
              <w:pStyle w:val="Compact"/>
              <w:jc w:val="left"/>
            </w:pPr>
            <w:r>
              <w:t xml:space="preserve">Project Site:</w:t>
            </w:r>
          </w:p>
        </w:tc>
        <w:tc>
          <w:tcPr/>
          <w:p>
            <w:pPr>
              <w:pStyle w:val="Compact"/>
              <w:jc w:val="left"/>
            </w:pPr>
            <w:r>
              <w:t xml:space="preserve">Tashkent, Republic of Uzbekistan</w:t>
            </w:r>
          </w:p>
        </w:tc>
      </w:tr>
      <w:tr>
        <w:tc>
          <w:tcPr/>
          <w:p>
            <w:pPr>
              <w:pStyle w:val="Compact"/>
              <w:jc w:val="left"/>
            </w:pPr>
            <w:r>
              <w:t xml:space="preserve">Prepared For:</w:t>
            </w:r>
          </w:p>
        </w:tc>
        <w:tc>
          <w:tcPr/>
          <w:p>
            <w:pPr>
              <w:pStyle w:val="Compact"/>
              <w:jc w:val="left"/>
            </w:pPr>
            <w:r>
              <w:t xml:space="preserve">Ministry of Foreign Affairs of the Republic of Uzbekistan, 40 Amir Temur Avenue, Tashkent 100011, Uzbekistan</w:t>
            </w:r>
          </w:p>
        </w:tc>
        <w:tc>
          <w:tcPr/>
          <w:p>
            <w:pPr>
              <w:pStyle w:val="Compact"/>
              <w:jc w:val="left"/>
            </w:pPr>
            <w:r>
              <w:t xml:space="preserve">Contact Person:</w:t>
            </w:r>
          </w:p>
        </w:tc>
        <w:tc>
          <w:tcPr/>
          <w:p>
            <w:pPr>
              <w:pStyle w:val="Compact"/>
              <w:jc w:val="left"/>
            </w:pPr>
            <w:r>
              <w:t xml:space="preserve">Directorate of Diplomatic Protocols &amp; Security</w:t>
            </w:r>
          </w:p>
        </w:tc>
      </w:tr>
    </w:tbl>
    <w:bookmarkStart w:id="21" w:name="executive-summary"/>
    <w:p>
      <w:pPr>
        <w:pStyle w:val="Heading2"/>
      </w:pPr>
      <w:r>
        <w:t xml:space="preserve">1. Executive Summary</w:t>
      </w:r>
    </w:p>
    <w:p>
      <w:pPr>
        <w:pStyle w:val="FirstParagraph"/>
      </w:pPr>
      <w:r>
        <w:t xml:space="preserve">This Quotation Estimate is formally submitted by Meridian Global Solutions Ltd. in response to the Request for Quotation (RFQ) issued by the Ministry of Foreign Affairs of the Republic of Uzbekistan for the procurement, deployment, and ongoing maintenance of the</w:t>
      </w:r>
      <w:r>
        <w:t xml:space="preserve"> </w:t>
      </w:r>
      <w:r>
        <w:rPr>
          <w:bCs/>
          <w:b/>
        </w:rPr>
        <w:t xml:space="preserve">Diplomat</w:t>
      </w:r>
      <w:r>
        <w:t xml:space="preserve"> </w:t>
      </w:r>
      <w:r>
        <w:t xml:space="preserve">Integrated Security and Communications Platform. The Diplomat system is a purpose-built, multi-layered solution designed to safeguard diplomatic personnel, secure sensitive communications, and ensure uninterrupted operational continuity for all diplomatic missions and consular offices located within the city of Tashkent and the broader Tashkent Region of Uzbekistan. This Quotation Estimate encompasses all hardware, software licensing, professional installation services, personnel training, and a comprehensive three-year maintenance and support contract tailored specifically to the operational requirements of the Uzbekistan Tashkent diplomatic community.</w:t>
      </w:r>
    </w:p>
    <w:bookmarkEnd w:id="21"/>
    <w:bookmarkStart w:id="22" w:name="X485c14a43918344d85246dd011279c631822815"/>
    <w:p>
      <w:pPr>
        <w:pStyle w:val="Heading2"/>
      </w:pPr>
      <w:r>
        <w:t xml:space="preserve">2. Scope of Work – Diplomat Platform Deployment in Uzbekistan Tashkent</w:t>
      </w:r>
    </w:p>
    <w:p>
      <w:pPr>
        <w:pStyle w:val="FirstParagraph"/>
      </w:pPr>
      <w:r>
        <w:t xml:space="preserve">The Diplomat platform, as specified for the Uzbekistan Tashkent deployment, includes the following core modules: (a) the Diplomat Secure Communications Suite (DSCS) providing end-to-end encrypted voice, video, and data channels compliant with ITU-T X.1110 and FIPS 140-2 standards; (b) the Diplomat Physical Security Integration Layer (DPSIL) for real-time monitoring of perimeter sensors, access control systems, and CCTV infrastructure across all designated diplomatic compounds in Tashkent; (c) the Diplomat Emergency Response Coordination Module (DERC) enabling rapid incident reporting, escalation, and inter-agency coordination with local Uzbekistan law enforcement and emergency services; and (d) the Diplomat Administrative and Logistical Management Portal (DALMP) for scheduling, credentialing, and resource allocation across all diplomatic offices in the Tashkent metropolitan area.</w:t>
      </w:r>
    </w:p>
    <w:bookmarkEnd w:id="22"/>
    <w:bookmarkStart w:id="23"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Diplomat Secure Communications Suite (DSCS) – Hardware Appliance (Model DSC-7200), including dual-redundant encryption modules, 256-channel capacity, and dedicated Tashkent regional server rack</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One per primary diplomatic compound in Tashkent</w:t>
            </w:r>
          </w:p>
        </w:tc>
      </w:tr>
      <w:tr>
        <w:tc>
          <w:tcPr/>
          <w:p>
            <w:pPr>
              <w:pStyle w:val="Compact"/>
              <w:jc w:val="left"/>
            </w:pPr>
            <w:r>
              <w:t xml:space="preserve">2</w:t>
            </w:r>
          </w:p>
        </w:tc>
        <w:tc>
          <w:tcPr/>
          <w:p>
            <w:pPr>
              <w:pStyle w:val="Compact"/>
              <w:jc w:val="left"/>
            </w:pPr>
            <w:r>
              <w:t xml:space="preserve">Diplomat Physical Security Integration Layer (DPSIL) – Software License (perpetual, site-wide Tashkent deployment) with 200 concurrent sensor node connections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c>
          <w:tcPr/>
          <w:p>
            <w:pPr>
              <w:pStyle w:val="Compact"/>
              <w:jc w:val="left"/>
            </w:pPr>
            <w:r>
              <w:t xml:space="preserve">Covers all consular and embassy premises in Tashkent</w:t>
            </w:r>
          </w:p>
        </w:tc>
      </w:tr>
      <w:tr>
        <w:tc>
          <w:tcPr/>
          <w:p>
            <w:pPr>
              <w:pStyle w:val="Compact"/>
              <w:jc w:val="left"/>
            </w:pPr>
            <w:r>
              <w:t xml:space="preserve">3</w:t>
            </w:r>
          </w:p>
        </w:tc>
        <w:tc>
          <w:tcPr/>
          <w:p>
            <w:pPr>
              <w:pStyle w:val="Compact"/>
              <w:jc w:val="left"/>
            </w:pPr>
            <w:r>
              <w:t xml:space="preserve">Diplomat Emergency Response Coordination Module (DERC) – Software License with API integration to Uzbekistan Ministry of Internal Affairs dispatch systems</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c>
          <w:tcPr/>
          <w:p>
            <w:pPr>
              <w:pStyle w:val="Compact"/>
              <w:jc w:val="left"/>
            </w:pPr>
            <w:r>
              <w:t xml:space="preserve">Includes bilingual (English/Uzbek) interface</w:t>
            </w:r>
          </w:p>
        </w:tc>
      </w:tr>
      <w:tr>
        <w:tc>
          <w:tcPr/>
          <w:p>
            <w:pPr>
              <w:pStyle w:val="Compact"/>
              <w:jc w:val="left"/>
            </w:pPr>
            <w:r>
              <w:t xml:space="preserve">4</w:t>
            </w:r>
          </w:p>
        </w:tc>
        <w:tc>
          <w:tcPr/>
          <w:p>
            <w:pPr>
              <w:pStyle w:val="Compact"/>
              <w:jc w:val="left"/>
            </w:pPr>
            <w:r>
              <w:t xml:space="preserve">Diplomat Administrative and Logistical Management Portal (DALMP) – Cloud-hosted SaaS subscription, 3-year term, 150 user seats</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Data residency: Tashkent on-premise mirror</w:t>
            </w:r>
          </w:p>
        </w:tc>
      </w:tr>
      <w:tr>
        <w:tc>
          <w:tcPr/>
          <w:p>
            <w:pPr>
              <w:pStyle w:val="Compact"/>
              <w:jc w:val="left"/>
            </w:pPr>
            <w:r>
              <w:t xml:space="preserve">5</w:t>
            </w:r>
          </w:p>
        </w:tc>
        <w:tc>
          <w:tcPr/>
          <w:p>
            <w:pPr>
              <w:pStyle w:val="Compact"/>
              <w:jc w:val="left"/>
            </w:pPr>
            <w:r>
              <w:t xml:space="preserve">Professional Installation, Configuration, and Commissioning Services – On-site team of 6 engineers, 12-week deployment window in Tashkent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Includes travel, accommodation, and local logistics</w:t>
            </w:r>
          </w:p>
        </w:tc>
      </w:tr>
      <w:tr>
        <w:tc>
          <w:tcPr/>
          <w:p>
            <w:pPr>
              <w:pStyle w:val="Compact"/>
              <w:jc w:val="left"/>
            </w:pPr>
            <w:r>
              <w:t xml:space="preserve">6</w:t>
            </w:r>
          </w:p>
        </w:tc>
        <w:tc>
          <w:tcPr/>
          <w:p>
            <w:pPr>
              <w:pStyle w:val="Compact"/>
              <w:jc w:val="left"/>
            </w:pPr>
            <w:r>
              <w:t xml:space="preserve">Personnel Training Program – 40-hour instructor-led training for 30 end-users and 8 system administrators, conducted at the Tashkent Diplomatic Training Centre</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c>
          <w:tcPr/>
          <w:p>
            <w:pPr>
              <w:pStyle w:val="Compact"/>
              <w:jc w:val="left"/>
            </w:pPr>
            <w:r>
              <w:t xml:space="preserve">Certification included; materials in English and Uzbek</w:t>
            </w:r>
          </w:p>
        </w:tc>
      </w:tr>
      <w:tr>
        <w:tc>
          <w:tcPr/>
          <w:p>
            <w:pPr>
              <w:pStyle w:val="Compact"/>
              <w:jc w:val="left"/>
            </w:pPr>
            <w:r>
              <w:t xml:space="preserve">7</w:t>
            </w:r>
          </w:p>
        </w:tc>
        <w:tc>
          <w:tcPr/>
          <w:p>
            <w:pPr>
              <w:pStyle w:val="Compact"/>
              <w:jc w:val="left"/>
            </w:pPr>
            <w:r>
              <w:t xml:space="preserve">Three-Year Comprehensive Maintenance, Support, and Software Update Contract (24/7/365 SLA, 4-hour response time for critical incidents in Tashkent)</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Includes annual on-site health checks (2 per year)</w:t>
            </w:r>
          </w:p>
        </w:tc>
      </w:tr>
      <w:tr>
        <w:tc>
          <w:tcPr/>
          <w:p>
            <w:pPr>
              <w:pStyle w:val="Compact"/>
              <w:jc w:val="left"/>
            </w:pPr>
            <w:r>
              <w:t xml:space="preserve">8</w:t>
            </w:r>
          </w:p>
        </w:tc>
        <w:tc>
          <w:tcPr/>
          <w:p>
            <w:pPr>
              <w:pStyle w:val="Compact"/>
              <w:jc w:val="left"/>
            </w:pPr>
            <w:r>
              <w:t xml:space="preserve">Contingency Hardware Spares Kit – Encryption modules, network interface cards, power supply units, and sensor nodes for the Diplomat system in Tashkent</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Stored at designated Tashkent warehouse</w:t>
            </w:r>
          </w:p>
        </w:tc>
      </w:tr>
      <w:tr>
        <w:tc>
          <w:tcPr>
            <w:gridSpan w:val="4"/>
          </w:tcPr>
          <w:p>
            <w:pPr>
              <w:pStyle w:val="Compact"/>
              <w:jc w:val="right"/>
            </w:pPr>
            <w:r>
              <w:t xml:space="preserve">Subtotal:</w:t>
            </w:r>
          </w:p>
        </w:tc>
        <w:tc>
          <w:tcPr/>
          <w:p>
            <w:pPr>
              <w:pStyle w:val="Compact"/>
              <w:jc w:val="left"/>
            </w:pPr>
            <w:r>
              <w:t xml:space="preserve">484,500.00</w:t>
            </w:r>
          </w:p>
        </w:tc>
        <w:tc>
          <w:tcPr/>
          <w:p>
            <w:pPr>
              <w:pStyle w:val="Compact"/>
            </w:pPr>
          </w:p>
        </w:tc>
      </w:tr>
      <w:tr>
        <w:tc>
          <w:tcPr>
            <w:gridSpan w:val="4"/>
          </w:tcPr>
          <w:p>
            <w:pPr>
              <w:pStyle w:val="Compact"/>
              <w:jc w:val="right"/>
            </w:pPr>
            <w:r>
              <w:t xml:space="preserve">Applicable Taxes &amp; Duties (Uzbekistan import tariff, VAT 12%):</w:t>
            </w:r>
          </w:p>
        </w:tc>
        <w:tc>
          <w:tcPr/>
          <w:p>
            <w:pPr>
              <w:pStyle w:val="Compact"/>
              <w:jc w:val="left"/>
            </w:pPr>
            <w:r>
              <w:t xml:space="preserve">58,140.00</w:t>
            </w:r>
          </w:p>
        </w:tc>
        <w:tc>
          <w:tcPr/>
          <w:p>
            <w:pPr>
              <w:pStyle w:val="Compact"/>
              <w:jc w:val="left"/>
            </w:pPr>
            <w:r>
              <w:t xml:space="preserve">Per Uzbekistan Customs Code</w:t>
            </w:r>
          </w:p>
        </w:tc>
      </w:tr>
      <w:tr>
        <w:tc>
          <w:tcPr>
            <w:gridSpan w:val="4"/>
          </w:tcPr>
          <w:p>
            <w:pPr>
              <w:pStyle w:val="Compact"/>
              <w:jc w:val="right"/>
            </w:pPr>
            <w:r>
              <w:t xml:space="preserve">TOTAL QUOTATION ESTIMATE:</w:t>
            </w:r>
          </w:p>
        </w:tc>
        <w:tc>
          <w:tcPr/>
          <w:p>
            <w:pPr>
              <w:pStyle w:val="Compact"/>
              <w:jc w:val="left"/>
            </w:pPr>
            <w:r>
              <w:t xml:space="preserve">542,640.00</w:t>
            </w:r>
          </w:p>
        </w:tc>
        <w:tc>
          <w:tcPr/>
          <w:p>
            <w:pPr>
              <w:pStyle w:val="Compact"/>
              <w:jc w:val="left"/>
            </w:pPr>
            <w:r>
              <w:t xml:space="preserve">USD</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30% advance payment upon acceptance of this Quotation Estimate; 40% upon successful commissioning of the Diplomat platform in Tashkent; 30% upon completion of the three-year maintenance contract or upon final acceptance, whichever is earlier.</w:t>
      </w:r>
    </w:p>
    <w:p>
      <w:pPr>
        <w:numPr>
          <w:ilvl w:val="0"/>
          <w:numId w:val="1001"/>
        </w:numPr>
        <w:pStyle w:val="Compact"/>
      </w:pPr>
      <w:r>
        <w:rPr>
          <w:bCs/>
          <w:b/>
        </w:rPr>
        <w:t xml:space="preserve">Delivery and Installation:</w:t>
      </w:r>
      <w:r>
        <w:t xml:space="preserve"> </w:t>
      </w:r>
      <w:r>
        <w:t xml:space="preserve">All Diplomat hardware shall be delivered to the designated site in Tashkent, Uzbekistan, within 8 weeks of contract execution. Installation and commissioning shall be completed within 12 weeks of hardware delivery.</w:t>
      </w:r>
    </w:p>
    <w:p>
      <w:pPr>
        <w:numPr>
          <w:ilvl w:val="0"/>
          <w:numId w:val="1001"/>
        </w:numPr>
        <w:pStyle w:val="Compact"/>
      </w:pPr>
      <w:r>
        <w:rPr>
          <w:bCs/>
          <w:b/>
        </w:rPr>
        <w:t xml:space="preserve">Warranty:</w:t>
      </w:r>
      <w:r>
        <w:t xml:space="preserve"> </w:t>
      </w:r>
      <w:r>
        <w:t xml:space="preserve">All Diplomat hardware components carry a 36-month manufacturer's warranty from the date of commissioning in Tashkent. Software defects shall be remediated at no additional cost during the maintenance period.</w:t>
      </w:r>
    </w:p>
    <w:p>
      <w:pPr>
        <w:numPr>
          <w:ilvl w:val="0"/>
          <w:numId w:val="1001"/>
        </w:numPr>
        <w:pStyle w:val="Compact"/>
      </w:pPr>
      <w:r>
        <w:rPr>
          <w:bCs/>
          <w:b/>
        </w:rPr>
        <w:t xml:space="preserve">Intellectual Property:</w:t>
      </w:r>
      <w:r>
        <w:t xml:space="preserve"> </w:t>
      </w:r>
      <w:r>
        <w:t xml:space="preserve">All Diplomat platform software, firmware, and proprietary documentation remain the exclusive intellectual property of Meridian Global Solutions Ltd. The client in Uzbekistan Tashkent is granted a non-transferable, site-specific license for use within the Republic of Uzbekistan.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civil unrest, or changes in Uzbekistan import/export regulations.</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Uzbekistan, with disputes subject to arbitration in Tashkent under the rules of the International Chamber of Commerce (ICC).</w:t>
      </w:r>
    </w:p>
    <w:p>
      <w:pPr>
        <w:numPr>
          <w:ilvl w:val="0"/>
          <w:numId w:val="1001"/>
        </w:numPr>
        <w:pStyle w:val="Compact"/>
      </w:pPr>
      <w:r>
        <w:rPr>
          <w:bCs/>
          <w:b/>
        </w:rPr>
        <w:t xml:space="preserve">Confidentiality:</w:t>
      </w:r>
      <w:r>
        <w:t xml:space="preserve"> </w:t>
      </w:r>
      <w:r>
        <w:t xml:space="preserve">All information exchanged in connection with this Quotation Estimate for the Diplomat project in Uzbekistan Tashkent shall be treated as strictly confidential and shall not be disclosed to third parties without prior written consent.</w:t>
      </w:r>
    </w:p>
    <w:bookmarkEnd w:id="24"/>
    <w:bookmarkStart w:id="25" w:name="acceptance-and-authorization"/>
    <w:p>
      <w:pPr>
        <w:pStyle w:val="Heading2"/>
      </w:pPr>
      <w:r>
        <w:t xml:space="preserve">5. Acceptance and Authorization</w:t>
      </w:r>
    </w:p>
    <w:p>
      <w:pPr>
        <w:pStyle w:val="FirstParagraph"/>
      </w:pPr>
      <w:r>
        <w:t xml:space="preserve">By signing below, the undersigned parties acknowledge and accept the terms, pricing, and scope of work outlined in this Quotation Estimate for the Diplomat Integrated Security and Communications Platform to be deployed in Uzbekistan Tashkent. This document constitutes a binding commercial offer valid for the stated 60-day period.</w:t>
      </w:r>
    </w:p>
    <w:p>
      <w:pPr>
        <w:pStyle w:val="BodyText"/>
      </w:pPr>
      <w:r>
        <w:rPr>
          <w:bCs/>
          <w:b/>
        </w:rPr>
        <w:t xml:space="preserve">For and on behalf of</w:t>
      </w:r>
      <w:r>
        <w:br/>
      </w:r>
      <w:r>
        <w:t xml:space="preserve">Meridian Global Solutions Ltd.</w:t>
      </w:r>
    </w:p>
    <w:p>
      <w:pPr>
        <w:pStyle w:val="BodyText"/>
      </w:pPr>
      <w:r>
        <w:t xml:space="preserve">Name: _________________________</w:t>
      </w:r>
      <w:r>
        <w:br/>
      </w:r>
      <w:r>
        <w:t xml:space="preserve">Title: Chief Commercial Officer</w:t>
      </w:r>
      <w:r>
        <w:br/>
      </w:r>
      <w:r>
        <w:t xml:space="preserve">Signature &amp; Date: _______________</w:t>
      </w:r>
    </w:p>
    <w:p>
      <w:pPr>
        <w:pStyle w:val="BodyText"/>
      </w:pPr>
      <w:r>
        <w:rPr>
          <w:bCs/>
          <w:b/>
        </w:rPr>
        <w:t xml:space="preserve">For and on behalf of</w:t>
      </w:r>
      <w:r>
        <w:br/>
      </w:r>
      <w:r>
        <w:t xml:space="preserve">Ministry of Foreign Affairs</w:t>
      </w:r>
      <w:r>
        <w:br/>
      </w:r>
      <w:r>
        <w:t xml:space="preserve">Republic of Uzbekistan, Tashkent</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rPr>
          <w:bCs/>
          <w:b/>
        </w:rPr>
        <w:t xml:space="preserve">Important Note:</w:t>
      </w:r>
      <w:r>
        <w:t xml:space="preserve"> </w:t>
      </w:r>
      <w:r>
        <w:t xml:space="preserve">This Quotation Estimate is prepared exclusively for the Diplomat platform deployment in Uzbekistan Tashkent and is non-transferable. All pricing is quoted in United States Dollars (USD) and is subject to verification against prevailing exchange rates at the time of payment. Import duties, customs clearance fees, and local taxes applicable in the Republic of Uzbekistan are included as estimated and may be subject to adjustment based on final customs assessment in Tashkent. This document does not constitute a final contract until countersigned by both parties.</w:t>
      </w:r>
    </w:p>
    <w:p>
      <w:pPr>
        <w:pStyle w:val="BodyText"/>
      </w:pPr>
      <w:r>
        <w:t xml:space="preserve">Document Reference: QTE-2025-UZ-TSK-0472 | Page 1 of 1 | Generated: 14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Uzbekistan Tashkent</dc:title>
  <dc:creator/>
  <dc:language>en</dc:language>
  <cp:keywords/>
  <dcterms:created xsi:type="dcterms:W3CDTF">2026-10-10T08:48:42Z</dcterms:created>
  <dcterms:modified xsi:type="dcterms:W3CDTF">2026-10-10T08:48:42Z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