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Medical Services — Doctor General Practitioner</w:t>
      </w:r>
    </w:p>
    <w:p>
      <w:pPr>
        <w:pStyle w:val="BodyText"/>
      </w:pPr>
      <w:r>
        <w:t xml:space="preserve">Dhaka, Bangladesh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QTE-DGP-DHK-2025-0472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Md. Rahimul Hasan, MBBS, FCPS (Medicine)</w:t>
            </w:r>
          </w:p>
        </w:tc>
      </w:tr>
      <w:tr>
        <w:tc>
          <w:tcPr/>
          <w:p>
            <w:pPr>
              <w:pStyle w:val="Compact"/>
              <w:jc w:val="left"/>
            </w:pPr>
            <w:r>
              <w:t xml:space="preserve">Clinic Address:</w:t>
            </w:r>
          </w:p>
        </w:tc>
        <w:tc>
          <w:tcPr/>
          <w:p>
            <w:pPr>
              <w:pStyle w:val="Compact"/>
              <w:jc w:val="left"/>
            </w:pPr>
            <w:r>
              <w:t xml:space="preserve">House 42, Road 11, Banani, Dhaka-1213, Bangladesh</w:t>
            </w:r>
          </w:p>
        </w:tc>
      </w:tr>
      <w:tr>
        <w:tc>
          <w:tcPr/>
          <w:p>
            <w:pPr>
              <w:pStyle w:val="Compact"/>
              <w:jc w:val="left"/>
            </w:pPr>
            <w:r>
              <w:t xml:space="preserve">Contact:</w:t>
            </w:r>
          </w:p>
        </w:tc>
        <w:tc>
          <w:tcPr/>
          <w:p>
            <w:pPr>
              <w:pStyle w:val="Compact"/>
              <w:jc w:val="left"/>
            </w:pPr>
            <w:r>
              <w:t xml:space="preserve">+880-1711-234567 | dr.rahimul.hasan@dhakagpclinic.com.bd</w:t>
            </w:r>
          </w:p>
        </w:tc>
      </w:tr>
      <w:tr>
        <w:tc>
          <w:tcPr/>
          <w:p>
            <w:pPr>
              <w:pStyle w:val="Compact"/>
              <w:jc w:val="left"/>
            </w:pPr>
            <w:r>
              <w:t xml:space="preserve">Prepared For:</w:t>
            </w:r>
          </w:p>
        </w:tc>
        <w:tc>
          <w:tcPr/>
          <w:p>
            <w:pPr>
              <w:pStyle w:val="Compact"/>
              <w:jc w:val="left"/>
            </w:pPr>
            <w:r>
              <w:t xml:space="preserve">Mr. Abdul Karim, Karim Enterprises Ltd., Gulshan-2, Dhaka, Bangladesh</w:t>
            </w:r>
          </w:p>
        </w:tc>
      </w:tr>
      <w:tr>
        <w:tc>
          <w:tcPr/>
          <w:p>
            <w:pPr>
              <w:pStyle w:val="Compact"/>
              <w:jc w:val="left"/>
            </w:pPr>
            <w:r>
              <w:t xml:space="preserve">Client Reference:</w:t>
            </w:r>
          </w:p>
        </w:tc>
        <w:tc>
          <w:tcPr/>
          <w:p>
            <w:pPr>
              <w:pStyle w:val="Compact"/>
              <w:jc w:val="left"/>
            </w:pPr>
            <w:r>
              <w:t xml:space="preserve">Corporate Wellness Program — FY 2025-2026</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Doctor General Practitioner</w:t>
      </w:r>
      <w:r>
        <w:t xml:space="preserve"> </w:t>
      </w:r>
      <w:r>
        <w:t xml:space="preserve">operating in</w:t>
      </w:r>
      <w:r>
        <w:t xml:space="preserve"> </w:t>
      </w:r>
      <w:r>
        <w:t xml:space="preserve">Bangladesh Dhaka</w:t>
      </w:r>
      <w:r>
        <w:t xml:space="preserve"> </w:t>
      </w:r>
      <w:r>
        <w:t xml:space="preserve">to provide a comprehensive, itemized breakdown of professional medical services, consultations, preventive health screenings, and ongoing primary care management. The scope of this estimate covers a twelve-month engagement period for the corporate wellness program of Karim Enterprises Ltd., serving approximately 120 employees based in the Dhaka metropolitan area.</w:t>
      </w:r>
    </w:p>
    <w:p>
      <w:pPr>
        <w:pStyle w:val="BodyText"/>
      </w:pPr>
      <w:r>
        <w:t xml:space="preserve">As a licensed</w:t>
      </w:r>
      <w:r>
        <w:t xml:space="preserve"> </w:t>
      </w:r>
      <w:r>
        <w:t xml:space="preserve">Doctor General Practitioner</w:t>
      </w:r>
      <w:r>
        <w:t xml:space="preserve"> </w:t>
      </w:r>
      <w:r>
        <w:t xml:space="preserve">registered with the Bangladesh Medical and Dental Council (BMDC), I am committed to delivering evidence-based, patient-centered primary healthcare in accordance with the clinical guidelines established by the Directorate General of Health Services (DGHS), Bangladesh. All services outlined in this</w:t>
      </w:r>
      <w:r>
        <w:t xml:space="preserve"> </w:t>
      </w:r>
      <w:r>
        <w:t xml:space="preserve">Quotation Estimate</w:t>
      </w:r>
      <w:r>
        <w:t xml:space="preserve"> </w:t>
      </w:r>
      <w:r>
        <w:t xml:space="preserve">will be rendered at the Banani clinic facility in</w:t>
      </w:r>
      <w:r>
        <w:t xml:space="preserve"> </w:t>
      </w:r>
      <w:r>
        <w:t xml:space="preserve">Bangladesh Dhaka</w:t>
      </w:r>
      <w:r>
        <w:t xml:space="preserve"> </w:t>
      </w:r>
      <w:r>
        <w:t xml:space="preserve">or at the client's designated premises upon prior arrangement.</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(BDT)</w:t>
            </w:r>
          </w:p>
        </w:tc>
        <w:tc>
          <w:tcPr/>
          <w:p>
            <w:pPr>
              <w:pStyle w:val="Compact"/>
              <w:jc w:val="left"/>
            </w:pPr>
            <w:r>
              <w:t xml:space="preserve">Quantity</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Initial Comprehensive Health Assessment &amp; Medical History Review per employee</w:t>
            </w:r>
          </w:p>
        </w:tc>
        <w:tc>
          <w:tcPr/>
          <w:p>
            <w:pPr>
              <w:pStyle w:val="Compact"/>
              <w:jc w:val="left"/>
            </w:pPr>
            <w:r>
              <w:t xml:space="preserve">One-time</w:t>
            </w:r>
          </w:p>
        </w:tc>
        <w:tc>
          <w:tcPr/>
          <w:p>
            <w:pPr>
              <w:pStyle w:val="Compact"/>
              <w:jc w:val="left"/>
            </w:pPr>
            <w:r>
              <w:t xml:space="preserve">1,500</w:t>
            </w:r>
          </w:p>
        </w:tc>
        <w:tc>
          <w:tcPr/>
          <w:p>
            <w:pPr>
              <w:pStyle w:val="Compact"/>
              <w:jc w:val="left"/>
            </w:pPr>
            <w:r>
              <w:t xml:space="preserve">120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Quarterly General Practitioner Consultation (30-min session) including BP, BMI, and vital signs monitoring</w:t>
            </w:r>
          </w:p>
        </w:tc>
        <w:tc>
          <w:tcPr/>
          <w:p>
            <w:pPr>
              <w:pStyle w:val="Compact"/>
              <w:jc w:val="left"/>
            </w:pPr>
            <w:r>
              <w:t xml:space="preserve">Quarterly</w:t>
            </w:r>
          </w:p>
        </w:tc>
        <w:tc>
          <w:tcPr/>
          <w:p>
            <w:pPr>
              <w:pStyle w:val="Compact"/>
              <w:jc w:val="left"/>
            </w:pPr>
            <w:r>
              <w:t xml:space="preserve">800</w:t>
            </w:r>
          </w:p>
        </w:tc>
        <w:tc>
          <w:tcPr/>
          <w:p>
            <w:pPr>
              <w:pStyle w:val="Compact"/>
              <w:jc w:val="left"/>
            </w:pPr>
            <w:r>
              <w:t xml:space="preserve">480</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Annual Preventive Health Screening Package (CBC, Lipid Profile, Fasting Blood Sugar, Liver &amp; Kidney Function, Urine Analysis, Chest X-Ray)</w:t>
            </w:r>
          </w:p>
        </w:tc>
        <w:tc>
          <w:tcPr/>
          <w:p>
            <w:pPr>
              <w:pStyle w:val="Compact"/>
              <w:jc w:val="left"/>
            </w:pPr>
            <w:r>
              <w:t xml:space="preserve">Annual</w:t>
            </w:r>
          </w:p>
        </w:tc>
        <w:tc>
          <w:tcPr/>
          <w:p>
            <w:pPr>
              <w:pStyle w:val="Compact"/>
              <w:jc w:val="left"/>
            </w:pPr>
            <w:r>
              <w:t xml:space="preserve">3,200</w:t>
            </w:r>
          </w:p>
        </w:tc>
        <w:tc>
          <w:tcPr/>
          <w:p>
            <w:pPr>
              <w:pStyle w:val="Compact"/>
              <w:jc w:val="left"/>
            </w:pPr>
            <w:r>
              <w:t xml:space="preserve">120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On-site Corporate Health Camp (half-day, up to 40 employees per session) including BP, blood sugar, BMI, and general examination</w:t>
            </w:r>
          </w:p>
        </w:tc>
        <w:tc>
          <w:tcPr/>
          <w:p>
            <w:pPr>
              <w:pStyle w:val="Compact"/>
              <w:jc w:val="left"/>
            </w:pPr>
            <w:r>
              <w:t xml:space="preserve">Bi-annual</w:t>
            </w:r>
          </w:p>
        </w:tc>
        <w:tc>
          <w:tcPr/>
          <w:p>
            <w:pPr>
              <w:pStyle w:val="Compact"/>
              <w:jc w:val="left"/>
            </w:pPr>
            <w:r>
              <w:t xml:space="preserve">25,000</w:t>
            </w:r>
          </w:p>
        </w:tc>
        <w:tc>
          <w:tcPr/>
          <w:p>
            <w:pPr>
              <w:pStyle w:val="Compact"/>
              <w:jc w:val="left"/>
            </w:pPr>
            <w:r>
              <w:t xml:space="preserve">2</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Urgent Telemedicine Consultation via phone/video call (within 24 hours, up to 60 sessions per month)</w:t>
            </w:r>
          </w:p>
        </w:tc>
        <w:tc>
          <w:tcPr/>
          <w:p>
            <w:pPr>
              <w:pStyle w:val="Compact"/>
              <w:jc w:val="left"/>
            </w:pPr>
            <w:r>
              <w:t xml:space="preserve">Monthly</w:t>
            </w:r>
          </w:p>
        </w:tc>
        <w:tc>
          <w:tcPr/>
          <w:p>
            <w:pPr>
              <w:pStyle w:val="Compact"/>
              <w:jc w:val="left"/>
            </w:pPr>
            <w:r>
              <w:t xml:space="preserve">500</w:t>
            </w:r>
          </w:p>
        </w:tc>
        <w:tc>
          <w:tcPr/>
          <w:p>
            <w:pPr>
              <w:pStyle w:val="Compact"/>
              <w:jc w:val="left"/>
            </w:pPr>
            <w:r>
              <w:t xml:space="preserve">720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Chronic Disease Management Follow-up (Diabetes, Hypertension, Asthma) — monthly review and medication adjustment</w:t>
            </w:r>
          </w:p>
        </w:tc>
        <w:tc>
          <w:tcPr/>
          <w:p>
            <w:pPr>
              <w:pStyle w:val="Compact"/>
              <w:jc w:val="left"/>
            </w:pPr>
            <w:r>
              <w:t xml:space="preserve">Monthly</w:t>
            </w:r>
          </w:p>
        </w:tc>
        <w:tc>
          <w:tcPr/>
          <w:p>
            <w:pPr>
              <w:pStyle w:val="Compact"/>
              <w:jc w:val="left"/>
            </w:pPr>
            <w:r>
              <w:t xml:space="preserve">600</w:t>
            </w:r>
          </w:p>
        </w:tc>
        <w:tc>
          <w:tcPr/>
          <w:p>
            <w:pPr>
              <w:pStyle w:val="Compact"/>
              <w:jc w:val="left"/>
            </w:pPr>
            <w:r>
              <w:t xml:space="preserve">360</w:t>
            </w:r>
          </w:p>
        </w:tc>
        <w:tc>
          <w:tcPr/>
          <w:p>
            <w:pPr>
              <w:pStyle w:val="Compact"/>
              <w:jc w:val="left"/>
            </w:pPr>
            <w:r>
              <w:t xml:space="preserve">216,000</w:t>
            </w:r>
          </w:p>
        </w:tc>
      </w:tr>
      <w:tr>
        <w:tc>
          <w:tcPr/>
          <w:p>
            <w:pPr>
              <w:pStyle w:val="Compact"/>
              <w:jc w:val="left"/>
            </w:pPr>
            <w:r>
              <w:t xml:space="preserve">7</w:t>
            </w:r>
          </w:p>
        </w:tc>
        <w:tc>
          <w:tcPr/>
          <w:p>
            <w:pPr>
              <w:pStyle w:val="Compact"/>
              <w:jc w:val="left"/>
            </w:pPr>
            <w:r>
              <w:t xml:space="preserve">Health Education Workshop (45-min session on nutrition, physical activity, stress management, and preventive care)</w:t>
            </w:r>
          </w:p>
        </w:tc>
        <w:tc>
          <w:tcPr/>
          <w:p>
            <w:pPr>
              <w:pStyle w:val="Compact"/>
              <w:jc w:val="left"/>
            </w:pPr>
            <w:r>
              <w:t xml:space="preserve">Quarterly</w:t>
            </w:r>
          </w:p>
        </w:tc>
        <w:tc>
          <w:tcPr/>
          <w:p>
            <w:pPr>
              <w:pStyle w:val="Compact"/>
              <w:jc w:val="left"/>
            </w:pPr>
            <w:r>
              <w:t xml:space="preserve">10,000</w:t>
            </w:r>
          </w:p>
        </w:tc>
        <w:tc>
          <w:tcPr/>
          <w:p>
            <w:pPr>
              <w:pStyle w:val="Compact"/>
              <w:jc w:val="left"/>
            </w:pPr>
            <w:r>
              <w:t xml:space="preserve">4</w:t>
            </w:r>
          </w:p>
        </w:tc>
        <w:tc>
          <w:tcPr/>
          <w:p>
            <w:pPr>
              <w:pStyle w:val="Compact"/>
              <w:jc w:val="left"/>
            </w:pPr>
            <w:r>
              <w:t xml:space="preserve">40,000</w:t>
            </w:r>
          </w:p>
        </w:tc>
      </w:tr>
      <w:tr>
        <w:tc>
          <w:tcPr/>
          <w:p>
            <w:pPr>
              <w:pStyle w:val="Compact"/>
              <w:jc w:val="left"/>
            </w:pPr>
            <w:r>
              <w:t xml:space="preserve">8</w:t>
            </w:r>
          </w:p>
        </w:tc>
        <w:tc>
          <w:tcPr/>
          <w:p>
            <w:pPr>
              <w:pStyle w:val="Compact"/>
              <w:jc w:val="left"/>
            </w:pPr>
            <w:r>
              <w:t xml:space="preserve">Referral Coordination and Specialist Follow-up Tracking (within Dhaka medical facilities)</w:t>
            </w:r>
          </w:p>
        </w:tc>
        <w:tc>
          <w:tcPr/>
          <w:p>
            <w:pPr>
              <w:pStyle w:val="Compact"/>
              <w:jc w:val="left"/>
            </w:pPr>
            <w:r>
              <w:t xml:space="preserve">As needed</w:t>
            </w:r>
          </w:p>
        </w:tc>
        <w:tc>
          <w:tcPr/>
          <w:p>
            <w:pPr>
              <w:pStyle w:val="Compact"/>
              <w:jc w:val="left"/>
            </w:pPr>
            <w:r>
              <w:t xml:space="preserve">1,000</w:t>
            </w:r>
          </w:p>
        </w:tc>
        <w:tc>
          <w:tcPr/>
          <w:p>
            <w:pPr>
              <w:pStyle w:val="Compact"/>
              <w:jc w:val="left"/>
            </w:pPr>
            <w:r>
              <w:t xml:space="preserve">60</w:t>
            </w:r>
          </w:p>
        </w:tc>
        <w:tc>
          <w:tcPr/>
          <w:p>
            <w:pPr>
              <w:pStyle w:val="Compact"/>
              <w:jc w:val="left"/>
            </w:pPr>
            <w:r>
              <w:t xml:space="preserve">60,000</w:t>
            </w:r>
          </w:p>
        </w:tc>
      </w:tr>
      <w:tr>
        <w:tc>
          <w:tcPr/>
          <w:p>
            <w:pPr>
              <w:pStyle w:val="Compact"/>
              <w:jc w:val="left"/>
            </w:pPr>
            <w:r>
              <w:t xml:space="preserve">9</w:t>
            </w:r>
          </w:p>
        </w:tc>
        <w:tc>
          <w:tcPr/>
          <w:p>
            <w:pPr>
              <w:pStyle w:val="Compact"/>
              <w:jc w:val="left"/>
            </w:pPr>
            <w:r>
              <w:t xml:space="preserve">Annual Health Report Compilation and Executive Summary for HR/Management</w:t>
            </w:r>
          </w:p>
        </w:tc>
        <w:tc>
          <w:tcPr/>
          <w:p>
            <w:pPr>
              <w:pStyle w:val="Compact"/>
              <w:jc w:val="left"/>
            </w:pPr>
            <w:r>
              <w:t xml:space="preserve">Annual</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Administrative Overhead, Medical Records Management, and Data Security Compliance</w:t>
            </w:r>
          </w:p>
        </w:tc>
        <w:tc>
          <w:tcPr/>
          <w:p>
            <w:pPr>
              <w:pStyle w:val="Compact"/>
              <w:jc w:val="left"/>
            </w:pPr>
            <w:r>
              <w:t xml:space="preserve">Annual</w:t>
            </w:r>
          </w:p>
        </w:tc>
        <w:tc>
          <w:tcPr/>
          <w:p>
            <w:pPr>
              <w:pStyle w:val="Compact"/>
              <w:jc w:val="left"/>
            </w:pPr>
            <w:r>
              <w:t xml:space="preserve">50,000</w:t>
            </w:r>
          </w:p>
        </w:tc>
        <w:tc>
          <w:tcPr/>
          <w:p>
            <w:pPr>
              <w:pStyle w:val="Compact"/>
              <w:jc w:val="left"/>
            </w:pPr>
            <w:r>
              <w:t xml:space="preserve">1</w:t>
            </w:r>
          </w:p>
        </w:tc>
        <w:tc>
          <w:tcPr/>
          <w:p>
            <w:pPr>
              <w:pStyle w:val="Compact"/>
              <w:jc w:val="left"/>
            </w:pPr>
            <w:r>
              <w:t xml:space="preserve">50,000</w:t>
            </w:r>
          </w:p>
        </w:tc>
      </w:tr>
      <w:tr>
        <w:tc>
          <w:tcPr>
            <w:gridSpan w:val="5"/>
          </w:tcPr>
          <w:p>
            <w:pPr>
              <w:pStyle w:val="Compact"/>
              <w:jc w:val="right"/>
            </w:pPr>
            <w:r>
              <w:t xml:space="preserve">Subtotal (BDT)</w:t>
            </w:r>
          </w:p>
        </w:tc>
        <w:tc>
          <w:tcPr/>
          <w:p>
            <w:pPr>
              <w:pStyle w:val="Compact"/>
              <w:jc w:val="left"/>
            </w:pPr>
            <w:r>
              <w:t xml:space="preserve">1,739,000</w:t>
            </w:r>
          </w:p>
        </w:tc>
      </w:tr>
      <w:tr>
        <w:tc>
          <w:tcPr>
            <w:gridSpan w:val="5"/>
          </w:tcPr>
          <w:p>
            <w:pPr>
              <w:pStyle w:val="Compact"/>
              <w:jc w:val="right"/>
            </w:pPr>
            <w:r>
              <w:t xml:space="preserve">VAT @ 5% (as applicable under Bangladesh tax regulations)</w:t>
            </w:r>
          </w:p>
        </w:tc>
        <w:tc>
          <w:tcPr/>
          <w:p>
            <w:pPr>
              <w:pStyle w:val="Compact"/>
              <w:jc w:val="left"/>
            </w:pPr>
            <w:r>
              <w:t xml:space="preserve">86,950</w:t>
            </w:r>
          </w:p>
        </w:tc>
      </w:tr>
      <w:tr>
        <w:tc>
          <w:tcPr>
            <w:gridSpan w:val="5"/>
          </w:tcPr>
          <w:p>
            <w:pPr>
              <w:pStyle w:val="Compact"/>
              <w:jc w:val="right"/>
            </w:pPr>
            <w:r>
              <w:t xml:space="preserve">Grand Total (BDT)</w:t>
            </w:r>
          </w:p>
        </w:tc>
        <w:tc>
          <w:tcPr/>
          <w:p>
            <w:pPr>
              <w:pStyle w:val="Compact"/>
              <w:jc w:val="left"/>
            </w:pPr>
            <w:r>
              <w:t xml:space="preserve">1,825,950</w:t>
            </w:r>
          </w:p>
        </w:tc>
      </w:tr>
    </w:tbl>
    <w:p>
      <w:pPr>
        <w:pStyle w:val="BodyText"/>
      </w:pPr>
      <w:r>
        <w:rPr>
          <w:bCs/>
          <w:b/>
        </w:rPr>
        <w:t xml:space="preserve">Note:</w:t>
      </w:r>
      <w:r>
        <w:t xml:space="preserve"> </w:t>
      </w:r>
      <w:r>
        <w:t xml:space="preserve">All rates quoted in this</w:t>
      </w:r>
      <w:r>
        <w:t xml:space="preserve"> </w:t>
      </w:r>
      <w:r>
        <w:t xml:space="preserve">Quotation Estimate</w:t>
      </w:r>
      <w:r>
        <w:t xml:space="preserve"> </w:t>
      </w:r>
      <w:r>
        <w:t xml:space="preserve">are in Bangladeshi Taka (BDT) and are inclusive of the</w:t>
      </w:r>
      <w:r>
        <w:t xml:space="preserve"> </w:t>
      </w:r>
      <w:r>
        <w:t xml:space="preserve">Doctor General Practitioner</w:t>
      </w:r>
      <w:r>
        <w:t xml:space="preserve">'s professional fee, consultation time, and standard diagnostic procedures listed. Additional laboratory tests, imaging beyond the annual package, or specialist referrals will be billed separately at prevailing</w:t>
      </w:r>
      <w:r>
        <w:t xml:space="preserve"> </w:t>
      </w:r>
      <w:r>
        <w:t xml:space="preserve">Bangladesh Dhaka</w:t>
      </w:r>
      <w:r>
        <w:t xml:space="preserve"> </w:t>
      </w:r>
      <w:r>
        <w:t xml:space="preserve">market rates.</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operational costs, pharmaceutical pricing, or regulatory requirements in</w:t>
      </w:r>
      <w:r>
        <w:t xml:space="preserve"> </w:t>
      </w:r>
      <w:r>
        <w:t xml:space="preserve">Bangladesh Dhaka</w:t>
      </w:r>
      <w:r>
        <w:t xml:space="preserve">.</w:t>
      </w:r>
    </w:p>
    <w:p>
      <w:pPr>
        <w:numPr>
          <w:ilvl w:val="0"/>
          <w:numId w:val="1001"/>
        </w:numPr>
        <w:pStyle w:val="Compact"/>
      </w:pPr>
      <w:r>
        <w:t xml:space="preserve">Payment terms: 40% advance upon contract signing, 30% at the six-month mark, and 30% upon completion of the twelve-month service period. All payments shall be made via bank transfer to the account designated by the</w:t>
      </w:r>
      <w:r>
        <w:t xml:space="preserve"> </w:t>
      </w:r>
      <w:r>
        <w:t xml:space="preserve">Doctor General Practitioner</w:t>
      </w:r>
      <w:r>
        <w:t xml:space="preserve">'s clinic.</w:t>
      </w:r>
    </w:p>
    <w:p>
      <w:pPr>
        <w:numPr>
          <w:ilvl w:val="0"/>
          <w:numId w:val="1001"/>
        </w:numPr>
        <w:pStyle w:val="Compact"/>
      </w:pPr>
      <w:r>
        <w:t xml:space="preserve">The</w:t>
      </w:r>
      <w:r>
        <w:t xml:space="preserve"> </w:t>
      </w:r>
      <w:r>
        <w:t xml:space="preserve">Doctor General Practitioner</w:t>
      </w:r>
      <w:r>
        <w:t xml:space="preserve"> </w:t>
      </w:r>
      <w:r>
        <w:t xml:space="preserve">reserves the right to refer patients to specialist physicians, diagnostic centers, or hospitals within Dhaka when clinical judgment necessitates advanced care beyond the scope of general practice.</w:t>
      </w:r>
    </w:p>
    <w:p>
      <w:pPr>
        <w:numPr>
          <w:ilvl w:val="0"/>
          <w:numId w:val="1001"/>
        </w:numPr>
        <w:pStyle w:val="Compact"/>
      </w:pPr>
      <w:r>
        <w:t xml:space="preserve">All patient medical records and health data shall be maintained in strict confidence in compliance with the Digital Security Act 2018 of Bangladesh and the BMDC Code of Ethics. No data shall be shared with third parties without written consent from the patient.</w:t>
      </w:r>
    </w:p>
    <w:p>
      <w:pPr>
        <w:numPr>
          <w:ilvl w:val="0"/>
          <w:numId w:val="1001"/>
        </w:numPr>
        <w:pStyle w:val="Compact"/>
      </w:pPr>
      <w:r>
        <w:t xml:space="preserve">Cancellation or early termination of the engagement by either party requires a written notice of thirty (30) days. In the event of early termination, pro-rata charges for services already rendered shall be applicable.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The terms herein serve as a preliminary financial and operational framework for negotiation.</w:t>
      </w:r>
    </w:p>
    <w:p>
      <w:pPr>
        <w:numPr>
          <w:ilvl w:val="0"/>
          <w:numId w:val="1001"/>
        </w:numPr>
        <w:pStyle w:val="Compact"/>
      </w:pPr>
      <w:r>
        <w:t xml:space="preserve">The</w:t>
      </w:r>
      <w:r>
        <w:t xml:space="preserve"> </w:t>
      </w:r>
      <w:r>
        <w:t xml:space="preserve">Doctor General Practitioner</w:t>
      </w:r>
      <w:r>
        <w:t xml:space="preserve"> </w:t>
      </w:r>
      <w:r>
        <w:t xml:space="preserve">shall maintain valid professional indemnity insurance and BMDC registration throughout the duration of the engagement. Proof of registration shall be provided upon request.</w:t>
      </w:r>
    </w:p>
    <w:p>
      <w:pPr>
        <w:numPr>
          <w:ilvl w:val="0"/>
          <w:numId w:val="1001"/>
        </w:numPr>
        <w:pStyle w:val="Compact"/>
      </w:pPr>
      <w:r>
        <w:t xml:space="preserve">Any disputes arising from this engagement shall be resolved through amicable negotiation. In the absence of resolution, matters shall be referred to the appropriate civil court in Dhaka, Bangladesh, in accordance with the laws of the People's Republic of Bangladesh.</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Doctor General Practitioner</w:t>
      </w:r>
      <w:r>
        <w:t xml:space="preserve"> </w:t>
      </w:r>
      <w:r>
        <w:t xml:space="preserve">services in</w:t>
      </w:r>
      <w:r>
        <w:t xml:space="preserve"> </w:t>
      </w:r>
      <w:r>
        <w:t xml:space="preserve">Bangladesh Dhaka</w:t>
      </w:r>
      <w:r>
        <w:t xml:space="preserve">. This acceptance does not obligate either party to enter into a formal contract until a separate Service Agreement is executed.</w:t>
      </w:r>
    </w:p>
    <w:p>
      <w:pPr>
        <w:pStyle w:val="BodyText"/>
      </w:pPr>
      <w:r>
        <w:rPr>
          <w:bCs/>
          <w:b/>
        </w:rPr>
        <w:t xml:space="preserve">For the Provider</w:t>
      </w:r>
      <w:r>
        <w:br/>
      </w:r>
      <w:r>
        <w:t xml:space="preserve">Dr. Md. Rahimul Hasan</w:t>
      </w:r>
      <w:r>
        <w:br/>
      </w:r>
      <w:r>
        <w:t xml:space="preserve">Doctor General Practitioner</w:t>
      </w:r>
      <w:r>
        <w:br/>
      </w:r>
      <w:r>
        <w:t xml:space="preserve">BMDC Reg. No: 12345</w:t>
      </w:r>
      <w:r>
        <w:br/>
      </w:r>
      <w:r>
        <w:t xml:space="preserve">Date: _______________</w:t>
      </w:r>
    </w:p>
    <w:p>
      <w:pPr>
        <w:pStyle w:val="BodyText"/>
      </w:pPr>
      <w:r>
        <w:rPr>
          <w:bCs/>
          <w:b/>
        </w:rPr>
        <w:t xml:space="preserve">For the Client</w:t>
      </w:r>
      <w:r>
        <w:br/>
      </w:r>
      <w:r>
        <w:t xml:space="preserve">Mr. Abdul Karim</w:t>
      </w:r>
      <w:r>
        <w:br/>
      </w:r>
      <w:r>
        <w:t xml:space="preserve">Authorized Signatory</w:t>
      </w:r>
      <w:r>
        <w:br/>
      </w:r>
      <w:r>
        <w:t xml:space="preserve">Karim Enterprises Ltd.</w:t>
      </w:r>
      <w:r>
        <w:br/>
      </w:r>
      <w:r>
        <w:t xml:space="preserve">Date: _______________</w:t>
      </w:r>
    </w:p>
    <w:p>
      <w:pPr>
        <w:pStyle w:val="BodyText"/>
      </w:pPr>
      <w:r>
        <w:t xml:space="preserve">This Quotation Estimate — QTE-DGP-DHK-2025-0472 — was prepared by the Doctor General Practitioner's office located in Bangladesh Dhaka.</w:t>
      </w:r>
      <w:r>
        <w:t xml:space="preserve"> </w:t>
      </w:r>
      <w:r>
        <w:t xml:space="preserve">For queries or amendments, please contact the clinic at +880-1711-234567 or dr.rahimul.hasan@dhakagpclinic.com.bd.</w:t>
      </w:r>
    </w:p>
    <w:p>
      <w:pPr>
        <w:pStyle w:val="BodyText"/>
      </w:pPr>
      <w:r>
        <w:t xml:space="preserve">© 2025 Dr. Md. Rahimul Hasan — General Practice Clinic, Banani, Dhaka, Bangladesh.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Bangladesh Dhaka</dc:title>
  <dc:creator/>
  <dc:language>en</dc:language>
  <cp:keywords/>
  <dcterms:created xsi:type="dcterms:W3CDTF">2026-10-10T10:21:05Z</dcterms:created>
  <dcterms:modified xsi:type="dcterms:W3CDTF">2026-10-10T10:21:05Z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