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China</w:t>
      </w:r>
      <w:r>
        <w:t xml:space="preserve"> </w:t>
      </w:r>
      <w:r>
        <w:t xml:space="preserve">Guangzhou</w:t>
      </w:r>
    </w:p>
    <w:bookmarkStart w:id="20" w:name="quotation-estimate"/>
    <w:p>
      <w:pPr>
        <w:pStyle w:val="Heading1"/>
      </w:pPr>
      <w:r>
        <w:t xml:space="preserve">Quotation Estimate</w:t>
      </w:r>
    </w:p>
    <w:p>
      <w:pPr>
        <w:pStyle w:val="FirstParagraph"/>
      </w:pPr>
      <w:r>
        <w:t xml:space="preserve">Doctor General Practitioner Services</w:t>
      </w:r>
    </w:p>
    <w:p>
      <w:pPr>
        <w:pStyle w:val="BodyText"/>
      </w:pPr>
      <w:r>
        <w:t xml:space="preserve">Guangzhou, Guangdong Province, China</w:t>
      </w:r>
    </w:p>
    <w:p>
      <w:pPr>
        <w:pStyle w:val="BodyText"/>
      </w:pPr>
      <w:r>
        <w:t xml:space="preserve">Quotation Reference No.: QTE-GZ-2025-04782</w:t>
      </w:r>
    </w:p>
    <w:p>
      <w:pPr>
        <w:pStyle w:val="BodyText"/>
      </w:pPr>
      <w:r>
        <w:t xml:space="preserve">Date of Issue: 15 June 2025</w:t>
      </w:r>
    </w:p>
    <w:p>
      <w:pPr>
        <w:pStyle w:val="BodyText"/>
      </w:pPr>
      <w:r>
        <w:t xml:space="preserve">Valid Until: 15 September 2025</w:t>
      </w:r>
    </w:p>
    <w:bookmarkEnd w:id="20"/>
    <w:bookmarkStart w:id="21" w:name="service-provider"/>
    <w:p>
      <w:pPr>
        <w:pStyle w:val="Heading3"/>
      </w:pPr>
      <w:r>
        <w:t xml:space="preserve">Service Provider</w:t>
      </w:r>
    </w:p>
    <w:p>
      <w:pPr>
        <w:pStyle w:val="FirstParagraph"/>
      </w:pPr>
      <w:r>
        <w:rPr>
          <w:bCs/>
          <w:b/>
        </w:rPr>
        <w:t xml:space="preserve">Guangzhou Metropolitan Health Centre</w:t>
      </w:r>
    </w:p>
    <w:p>
      <w:pPr>
        <w:pStyle w:val="BodyText"/>
      </w:pPr>
      <w:r>
        <w:t xml:space="preserve">Building 12, Tianhe District Medical Park</w:t>
      </w:r>
    </w:p>
    <w:p>
      <w:pPr>
        <w:pStyle w:val="BodyText"/>
      </w:pPr>
      <w:r>
        <w:t xml:space="preserve">No. 388 Tianhe Road, Tianhe District</w:t>
      </w:r>
    </w:p>
    <w:p>
      <w:pPr>
        <w:pStyle w:val="BodyText"/>
      </w:pPr>
      <w:r>
        <w:t xml:space="preserve">Guangzhou, Guangdong 510630, China</w:t>
      </w:r>
    </w:p>
    <w:p>
      <w:pPr>
        <w:pStyle w:val="BodyText"/>
      </w:pPr>
      <w:r>
        <w:t xml:space="preserve">Tel: +86 20 8876 5432</w:t>
      </w:r>
    </w:p>
    <w:p>
      <w:pPr>
        <w:pStyle w:val="BodyText"/>
      </w:pPr>
      <w:r>
        <w:t xml:space="preserve">Email: services@gzmetrohealth.cn</w:t>
      </w:r>
    </w:p>
    <w:p>
      <w:pPr>
        <w:pStyle w:val="BodyText"/>
      </w:pPr>
      <w:r>
        <w:t xml:space="preserve">License No.: GZ-MED-2024-1187</w:t>
      </w:r>
    </w:p>
    <w:bookmarkEnd w:id="21"/>
    <w:bookmarkStart w:id="22" w:name="client-recipient"/>
    <w:p>
      <w:pPr>
        <w:pStyle w:val="Heading3"/>
      </w:pPr>
      <w:r>
        <w:t xml:space="preserve">Client / Recipient</w:t>
      </w:r>
    </w:p>
    <w:p>
      <w:pPr>
        <w:pStyle w:val="FirstParagraph"/>
      </w:pPr>
      <w:r>
        <w:rPr>
          <w:bCs/>
          <w:b/>
        </w:rPr>
        <w:t xml:space="preserve">Mr. / Ms. [Client Full Name]</w:t>
      </w:r>
    </w:p>
    <w:p>
      <w:pPr>
        <w:pStyle w:val="BodyText"/>
      </w:pPr>
      <w:r>
        <w:t xml:space="preserve">[Client Address Line 1]</w:t>
      </w:r>
    </w:p>
    <w:p>
      <w:pPr>
        <w:pStyle w:val="BodyText"/>
      </w:pPr>
      <w:r>
        <w:t xml:space="preserve">[Client Address Line 2]</w:t>
      </w:r>
    </w:p>
    <w:p>
      <w:pPr>
        <w:pStyle w:val="BodyText"/>
      </w:pPr>
      <w:r>
        <w:t xml:space="preserve">Guangzhou, Guangdong, China</w:t>
      </w:r>
    </w:p>
    <w:p>
      <w:pPr>
        <w:pStyle w:val="BodyText"/>
      </w:pPr>
      <w:r>
        <w:t xml:space="preserve">Tel: [Client Phone Number]</w:t>
      </w:r>
    </w:p>
    <w:p>
      <w:pPr>
        <w:pStyle w:val="BodyText"/>
      </w:pPr>
      <w:r>
        <w:t xml:space="preserve">Email: [Client Email Address]</w:t>
      </w:r>
    </w:p>
    <w:p>
      <w:pPr>
        <w:pStyle w:val="BodyText"/>
      </w:pPr>
      <w:r>
        <w:t xml:space="preserve">ID / Passport No.: [Client Identification]</w:t>
      </w:r>
    </w:p>
    <w:bookmarkEnd w:id="22"/>
    <w:p>
      <w:pPr>
        <w:pStyle w:val="BodyText"/>
      </w:pPr>
      <w:r>
        <w:t xml:space="preserve">1. Purpose of This Quotation Estimate</w:t>
      </w:r>
    </w:p>
    <w:p>
      <w:pPr>
        <w:pStyle w:val="BodyText"/>
      </w:pPr>
      <w:r>
        <w:t xml:space="preserve">This Quotation Estimate is issued by Guangzhou Metropolitan Health Centre to provide a comprehensive and transparent breakdown of all anticipated costs associated with the engagement of a Doctor General Practitioner for primary healthcare services within the city of China Guangzhou. This document serves as a formal cost projection and does not constitute a binding contract until both parties have reviewed, agreed upon, and executed the final service agreement. The Doctor General Practitioner referenced herein is a fully licensed medical professional registered with the National Medical Products Administration of the People's Republic of China and the Guangzhou Municipal Health Commission, holding a valid Practicing Certificate for General Medicine.</w:t>
      </w:r>
    </w:p>
    <w:p>
      <w:pPr>
        <w:pStyle w:val="BodyText"/>
      </w:pPr>
      <w:r>
        <w:t xml:space="preserve">2. Scope of Services – Doctor General Practitioner</w:t>
      </w:r>
    </w:p>
    <w:p>
      <w:pPr>
        <w:pStyle w:val="BodyText"/>
      </w:pPr>
      <w:r>
        <w:t xml:space="preserve">The Doctor General Practitioner engaged under this Quotation Estimate will provide the following primary care services to the client within the operational boundaries of China Guangzhou:</w:t>
      </w:r>
    </w:p>
    <w:p>
      <w:pPr>
        <w:numPr>
          <w:ilvl w:val="0"/>
          <w:numId w:val="1001"/>
        </w:numPr>
        <w:pStyle w:val="Compact"/>
      </w:pPr>
      <w:r>
        <w:t xml:space="preserve">Comprehensive initial medical consultation and health assessment (up to 60 minutes per session)</w:t>
      </w:r>
    </w:p>
    <w:p>
      <w:pPr>
        <w:numPr>
          <w:ilvl w:val="0"/>
          <w:numId w:val="1001"/>
        </w:numPr>
        <w:pStyle w:val="Compact"/>
      </w:pPr>
      <w:r>
        <w:t xml:space="preserve">Diagnosis and management of acute and chronic conditions including but not limited to respiratory infections, hypertension, diabetes mellitus, and musculoskeletal disorders</w:t>
      </w:r>
    </w:p>
    <w:p>
      <w:pPr>
        <w:numPr>
          <w:ilvl w:val="0"/>
          <w:numId w:val="1001"/>
        </w:numPr>
        <w:pStyle w:val="Compact"/>
      </w:pPr>
      <w:r>
        <w:t xml:space="preserve">Prescription of medications in accordance with Chinese pharmaceutical regulations and the National Essential Medicines List</w:t>
      </w:r>
    </w:p>
    <w:p>
      <w:pPr>
        <w:numPr>
          <w:ilvl w:val="0"/>
          <w:numId w:val="1001"/>
        </w:numPr>
        <w:pStyle w:val="Compact"/>
      </w:pPr>
      <w:r>
        <w:t xml:space="preserve">Referral coordination to specialist departments within Guangzhou tertiary hospitals (e.g., Sun Yat-sen University Affiliated Hospitals, Guangdong Provincial People's Hospital) when clinically indicated</w:t>
      </w:r>
    </w:p>
    <w:p>
      <w:pPr>
        <w:numPr>
          <w:ilvl w:val="0"/>
          <w:numId w:val="1001"/>
        </w:numPr>
        <w:pStyle w:val="Compact"/>
      </w:pPr>
      <w:r>
        <w:t xml:space="preserve">Preventive health screening, immunization scheduling, and health education sessions</w:t>
      </w:r>
    </w:p>
    <w:p>
      <w:pPr>
        <w:numPr>
          <w:ilvl w:val="0"/>
          <w:numId w:val="1001"/>
        </w:numPr>
        <w:pStyle w:val="Compact"/>
      </w:pPr>
      <w:r>
        <w:t xml:space="preserve">Follow-up consultations and ongoing case management (minimum of four follow-up visits within the service period)</w:t>
      </w:r>
    </w:p>
    <w:p>
      <w:pPr>
        <w:numPr>
          <w:ilvl w:val="0"/>
          <w:numId w:val="1001"/>
        </w:numPr>
        <w:pStyle w:val="Compact"/>
      </w:pPr>
      <w:r>
        <w:t xml:space="preserve">Issuance of medical certificates, sick leave documentation, and health records compliant with Guangzhou municipal health authority requirements</w:t>
      </w:r>
    </w:p>
    <w:p>
      <w:pPr>
        <w:pStyle w:val="FirstParagraph"/>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Initial Doctor General Practitioner Consultation &amp; Comprehensive Health Assessment</w:t>
            </w:r>
          </w:p>
        </w:tc>
        <w:tc>
          <w:tcPr/>
          <w:p>
            <w:pPr>
              <w:pStyle w:val="Compact"/>
              <w:jc w:val="left"/>
            </w:pPr>
            <w:r>
              <w:t xml:space="preserve">1 session (60 min)</w:t>
            </w:r>
          </w:p>
        </w:tc>
        <w:tc>
          <w:tcPr/>
          <w:p>
            <w:pPr>
              <w:pStyle w:val="Compact"/>
              <w:jc w:val="left"/>
            </w:pPr>
            <w:r>
              <w:t xml:space="preserve">¥ 680.00</w:t>
            </w:r>
          </w:p>
        </w:tc>
        <w:tc>
          <w:tcPr/>
          <w:p>
            <w:pPr>
              <w:pStyle w:val="Compact"/>
              <w:jc w:val="left"/>
            </w:pPr>
            <w:r>
              <w:t xml:space="preserve">¥ 680.00</w:t>
            </w:r>
          </w:p>
        </w:tc>
      </w:tr>
      <w:tr>
        <w:tc>
          <w:tcPr/>
          <w:p>
            <w:pPr>
              <w:pStyle w:val="Compact"/>
              <w:jc w:val="left"/>
            </w:pPr>
            <w:r>
              <w:t xml:space="preserve">02</w:t>
            </w:r>
          </w:p>
        </w:tc>
        <w:tc>
          <w:tcPr/>
          <w:p>
            <w:pPr>
              <w:pStyle w:val="Compact"/>
              <w:jc w:val="left"/>
            </w:pPr>
            <w:r>
              <w:t xml:space="preserve">Follow-up Doctor General Practitioner Consultations (each 30 min)</w:t>
            </w:r>
          </w:p>
        </w:tc>
        <w:tc>
          <w:tcPr/>
          <w:p>
            <w:pPr>
              <w:pStyle w:val="Compact"/>
              <w:jc w:val="left"/>
            </w:pPr>
            <w:r>
              <w:t xml:space="preserve">4 sessions</w:t>
            </w:r>
          </w:p>
        </w:tc>
        <w:tc>
          <w:tcPr/>
          <w:p>
            <w:pPr>
              <w:pStyle w:val="Compact"/>
              <w:jc w:val="left"/>
            </w:pPr>
            <w:r>
              <w:t xml:space="preserve">¥ 420.00</w:t>
            </w:r>
          </w:p>
        </w:tc>
        <w:tc>
          <w:tcPr/>
          <w:p>
            <w:pPr>
              <w:pStyle w:val="Compact"/>
              <w:jc w:val="left"/>
            </w:pPr>
            <w:r>
              <w:t xml:space="preserve">¥ 1,680.00</w:t>
            </w:r>
          </w:p>
        </w:tc>
      </w:tr>
      <w:tr>
        <w:tc>
          <w:tcPr/>
          <w:p>
            <w:pPr>
              <w:pStyle w:val="Compact"/>
              <w:jc w:val="left"/>
            </w:pPr>
            <w:r>
              <w:t xml:space="preserve">03</w:t>
            </w:r>
          </w:p>
        </w:tc>
        <w:tc>
          <w:tcPr/>
          <w:p>
            <w:pPr>
              <w:pStyle w:val="Compact"/>
              <w:jc w:val="left"/>
            </w:pPr>
            <w:r>
              <w:t xml:space="preserve">Basic Diagnostic Panel (Complete Blood Count, Urinalysis, Liver &amp; Renal Function, Lipid Profile, Fasting Glucose)</w:t>
            </w:r>
          </w:p>
        </w:tc>
        <w:tc>
          <w:tcPr/>
          <w:p>
            <w:pPr>
              <w:pStyle w:val="Compact"/>
              <w:jc w:val="left"/>
            </w:pPr>
            <w:r>
              <w:t xml:space="preserve">1 panel</w:t>
            </w:r>
          </w:p>
        </w:tc>
        <w:tc>
          <w:tcPr/>
          <w:p>
            <w:pPr>
              <w:pStyle w:val="Compact"/>
              <w:jc w:val="left"/>
            </w:pPr>
            <w:r>
              <w:t xml:space="preserve">¥ 1,250.00</w:t>
            </w:r>
          </w:p>
        </w:tc>
        <w:tc>
          <w:tcPr/>
          <w:p>
            <w:pPr>
              <w:pStyle w:val="Compact"/>
              <w:jc w:val="left"/>
            </w:pPr>
            <w:r>
              <w:t xml:space="preserve">¥ 1,250.00</w:t>
            </w:r>
          </w:p>
        </w:tc>
      </w:tr>
      <w:tr>
        <w:tc>
          <w:tcPr/>
          <w:p>
            <w:pPr>
              <w:pStyle w:val="Compact"/>
              <w:jc w:val="left"/>
            </w:pPr>
            <w:r>
              <w:t xml:space="preserve">04</w:t>
            </w:r>
          </w:p>
        </w:tc>
        <w:tc>
          <w:tcPr/>
          <w:p>
            <w:pPr>
              <w:pStyle w:val="Compact"/>
              <w:jc w:val="left"/>
            </w:pPr>
            <w:r>
              <w:t xml:space="preserve">Chest X-Ray and Electrocardiogram (ECG) – performed at China Guangzhou imaging facility</w:t>
            </w:r>
          </w:p>
        </w:tc>
        <w:tc>
          <w:tcPr/>
          <w:p>
            <w:pPr>
              <w:pStyle w:val="Compact"/>
              <w:jc w:val="left"/>
            </w:pPr>
            <w:r>
              <w:t xml:space="preserve">1 set</w:t>
            </w:r>
          </w:p>
        </w:tc>
        <w:tc>
          <w:tcPr/>
          <w:p>
            <w:pPr>
              <w:pStyle w:val="Compact"/>
              <w:jc w:val="left"/>
            </w:pPr>
            <w:r>
              <w:t xml:space="preserve">¥ 580.00</w:t>
            </w:r>
          </w:p>
        </w:tc>
        <w:tc>
          <w:tcPr/>
          <w:p>
            <w:pPr>
              <w:pStyle w:val="Compact"/>
              <w:jc w:val="left"/>
            </w:pPr>
            <w:r>
              <w:t xml:space="preserve">¥ 580.00</w:t>
            </w:r>
          </w:p>
        </w:tc>
      </w:tr>
      <w:tr>
        <w:tc>
          <w:tcPr/>
          <w:p>
            <w:pPr>
              <w:pStyle w:val="Compact"/>
              <w:jc w:val="left"/>
            </w:pPr>
            <w:r>
              <w:t xml:space="preserve">05</w:t>
            </w:r>
          </w:p>
        </w:tc>
        <w:tc>
          <w:tcPr/>
          <w:p>
            <w:pPr>
              <w:pStyle w:val="Compact"/>
              <w:jc w:val="left"/>
            </w:pPr>
            <w:r>
              <w:t xml:space="preserve">Prescription Issuance and Medication Dispensing Coordination (first 30 days supply)</w:t>
            </w:r>
          </w:p>
        </w:tc>
        <w:tc>
          <w:tcPr/>
          <w:p>
            <w:pPr>
              <w:pStyle w:val="Compact"/>
              <w:jc w:val="left"/>
            </w:pPr>
            <w:r>
              <w:t xml:space="preserve">1 cycle</w:t>
            </w:r>
          </w:p>
        </w:tc>
        <w:tc>
          <w:tcPr/>
          <w:p>
            <w:pPr>
              <w:pStyle w:val="Compact"/>
              <w:jc w:val="left"/>
            </w:pPr>
            <w:r>
              <w:t xml:space="preserve">¥ 350.00</w:t>
            </w:r>
          </w:p>
        </w:tc>
        <w:tc>
          <w:tcPr/>
          <w:p>
            <w:pPr>
              <w:pStyle w:val="Compact"/>
              <w:jc w:val="left"/>
            </w:pPr>
            <w:r>
              <w:t xml:space="preserve">¥ 350.00</w:t>
            </w:r>
          </w:p>
        </w:tc>
      </w:tr>
      <w:tr>
        <w:tc>
          <w:tcPr/>
          <w:p>
            <w:pPr>
              <w:pStyle w:val="Compact"/>
              <w:jc w:val="left"/>
            </w:pPr>
            <w:r>
              <w:t xml:space="preserve">06</w:t>
            </w:r>
          </w:p>
        </w:tc>
        <w:tc>
          <w:tcPr/>
          <w:p>
            <w:pPr>
              <w:pStyle w:val="Compact"/>
              <w:jc w:val="left"/>
            </w:pPr>
            <w:r>
              <w:t xml:space="preserve">Preventive Health Screening Package (BMI, Blood Pressure Monitoring, Vision &amp; Hearing Check, Dental Screening)</w:t>
            </w:r>
          </w:p>
        </w:tc>
        <w:tc>
          <w:tcPr/>
          <w:p>
            <w:pPr>
              <w:pStyle w:val="Compact"/>
              <w:jc w:val="left"/>
            </w:pPr>
            <w:r>
              <w:t xml:space="preserve">1 package</w:t>
            </w:r>
          </w:p>
        </w:tc>
        <w:tc>
          <w:tcPr/>
          <w:p>
            <w:pPr>
              <w:pStyle w:val="Compact"/>
              <w:jc w:val="left"/>
            </w:pPr>
            <w:r>
              <w:t xml:space="preserve">¥ 890.00</w:t>
            </w:r>
          </w:p>
        </w:tc>
        <w:tc>
          <w:tcPr/>
          <w:p>
            <w:pPr>
              <w:pStyle w:val="Compact"/>
              <w:jc w:val="left"/>
            </w:pPr>
            <w:r>
              <w:t xml:space="preserve">¥ 890.00</w:t>
            </w:r>
          </w:p>
        </w:tc>
      </w:tr>
      <w:tr>
        <w:tc>
          <w:tcPr/>
          <w:p>
            <w:pPr>
              <w:pStyle w:val="Compact"/>
              <w:jc w:val="left"/>
            </w:pPr>
            <w:r>
              <w:t xml:space="preserve">07</w:t>
            </w:r>
          </w:p>
        </w:tc>
        <w:tc>
          <w:tcPr/>
          <w:p>
            <w:pPr>
              <w:pStyle w:val="Compact"/>
              <w:jc w:val="left"/>
            </w:pPr>
            <w:r>
              <w:t xml:space="preserve">Medical Record Management, Certificate Issuance &amp; Administrative Fees (Guangzhou Municipal Compliance)</w:t>
            </w:r>
          </w:p>
        </w:tc>
        <w:tc>
          <w:tcPr/>
          <w:p>
            <w:pPr>
              <w:pStyle w:val="Compact"/>
              <w:jc w:val="left"/>
            </w:pPr>
            <w:r>
              <w:t xml:space="preserve">1 service period</w:t>
            </w:r>
          </w:p>
        </w:tc>
        <w:tc>
          <w:tcPr/>
          <w:p>
            <w:pPr>
              <w:pStyle w:val="Compact"/>
              <w:jc w:val="left"/>
            </w:pPr>
            <w:r>
              <w:t xml:space="preserve">¥ 200.00</w:t>
            </w:r>
          </w:p>
        </w:tc>
        <w:tc>
          <w:tcPr/>
          <w:p>
            <w:pPr>
              <w:pStyle w:val="Compact"/>
              <w:jc w:val="left"/>
            </w:pPr>
            <w:r>
              <w:t xml:space="preserve">¥ 200.00</w:t>
            </w:r>
          </w:p>
        </w:tc>
      </w:tr>
      <w:tr>
        <w:tc>
          <w:tcPr/>
          <w:p>
            <w:pPr>
              <w:pStyle w:val="Compact"/>
              <w:jc w:val="left"/>
            </w:pPr>
            <w:r>
              <w:t xml:space="preserve">08</w:t>
            </w:r>
          </w:p>
        </w:tc>
        <w:tc>
          <w:tcPr/>
          <w:p>
            <w:pPr>
              <w:pStyle w:val="Compact"/>
              <w:jc w:val="left"/>
            </w:pPr>
            <w:r>
              <w:t xml:space="preserve">Urgent After-Hours Doctor General Practitioner Availability (24/7 telemedicine access within China Guangzhou)</w:t>
            </w:r>
          </w:p>
        </w:tc>
        <w:tc>
          <w:tcPr/>
          <w:p>
            <w:pPr>
              <w:pStyle w:val="Compact"/>
              <w:jc w:val="left"/>
            </w:pPr>
            <w:r>
              <w:t xml:space="preserve">3 months</w:t>
            </w:r>
          </w:p>
        </w:tc>
        <w:tc>
          <w:tcPr/>
          <w:p>
            <w:pPr>
              <w:pStyle w:val="Compact"/>
              <w:jc w:val="left"/>
            </w:pPr>
            <w:r>
              <w:t xml:space="preserve">¥ 300.00</w:t>
            </w:r>
          </w:p>
        </w:tc>
        <w:tc>
          <w:tcPr/>
          <w:p>
            <w:pPr>
              <w:pStyle w:val="Compact"/>
              <w:jc w:val="left"/>
            </w:pPr>
            <w:r>
              <w:t xml:space="preserve">¥ 900.00</w:t>
            </w:r>
          </w:p>
        </w:tc>
      </w:tr>
      <w:tr>
        <w:tc>
          <w:tcPr/>
          <w:p>
            <w:pPr>
              <w:pStyle w:val="Compact"/>
              <w:jc w:val="left"/>
            </w:pPr>
            <w:r>
              <w:t xml:space="preserve">09</w:t>
            </w:r>
          </w:p>
        </w:tc>
        <w:tc>
          <w:tcPr/>
          <w:p>
            <w:pPr>
              <w:pStyle w:val="Compact"/>
              <w:jc w:val="left"/>
            </w:pPr>
            <w:r>
              <w:t xml:space="preserve">Specialist Referral Coordination Fee (if applicable – up to 2 referrals)</w:t>
            </w:r>
          </w:p>
        </w:tc>
        <w:tc>
          <w:tcPr/>
          <w:p>
            <w:pPr>
              <w:pStyle w:val="Compact"/>
              <w:jc w:val="left"/>
            </w:pPr>
            <w:r>
              <w:t xml:space="preserve">2 referrals</w:t>
            </w:r>
          </w:p>
        </w:tc>
        <w:tc>
          <w:tcPr/>
          <w:p>
            <w:pPr>
              <w:pStyle w:val="Compact"/>
              <w:jc w:val="left"/>
            </w:pPr>
            <w:r>
              <w:t xml:space="preserve">¥ 150.00</w:t>
            </w:r>
          </w:p>
        </w:tc>
        <w:tc>
          <w:tcPr/>
          <w:p>
            <w:pPr>
              <w:pStyle w:val="Compact"/>
              <w:jc w:val="left"/>
            </w:pPr>
            <w:r>
              <w:t xml:space="preserve">¥ 300.00</w:t>
            </w:r>
          </w:p>
        </w:tc>
      </w:tr>
      <w:tr>
        <w:tc>
          <w:tcPr/>
          <w:p>
            <w:pPr>
              <w:pStyle w:val="Compact"/>
              <w:jc w:val="left"/>
            </w:pPr>
            <w:r>
              <w:t xml:space="preserve">10</w:t>
            </w:r>
          </w:p>
        </w:tc>
        <w:tc>
          <w:tcPr/>
          <w:p>
            <w:pPr>
              <w:pStyle w:val="Compact"/>
              <w:jc w:val="left"/>
            </w:pPr>
            <w:r>
              <w:t xml:space="preserve">Health Education &amp; Lifestyle Counselling Session (nutrition, exercise, stress management)</w:t>
            </w:r>
          </w:p>
        </w:tc>
        <w:tc>
          <w:tcPr/>
          <w:p>
            <w:pPr>
              <w:pStyle w:val="Compact"/>
              <w:jc w:val="left"/>
            </w:pPr>
            <w:r>
              <w:t xml:space="preserve">2 sessions</w:t>
            </w:r>
          </w:p>
        </w:tc>
        <w:tc>
          <w:tcPr/>
          <w:p>
            <w:pPr>
              <w:pStyle w:val="Compact"/>
              <w:jc w:val="left"/>
            </w:pPr>
            <w:r>
              <w:t xml:space="preserve">¥ 280.00</w:t>
            </w:r>
          </w:p>
        </w:tc>
        <w:tc>
          <w:tcPr/>
          <w:p>
            <w:pPr>
              <w:pStyle w:val="Compact"/>
              <w:jc w:val="left"/>
            </w:pPr>
            <w:r>
              <w:t xml:space="preserve">¥ 560.00</w:t>
            </w:r>
          </w:p>
        </w:tc>
      </w:tr>
      <w:tr>
        <w:tc>
          <w:tcPr>
            <w:gridSpan w:val="4"/>
          </w:tcPr>
          <w:p>
            <w:pPr>
              <w:pStyle w:val="Compact"/>
              <w:jc w:val="right"/>
            </w:pPr>
            <w:r>
              <w:t xml:space="preserve">Subtotal (CNY):</w:t>
            </w:r>
          </w:p>
        </w:tc>
        <w:tc>
          <w:tcPr/>
          <w:p>
            <w:pPr>
              <w:pStyle w:val="Compact"/>
              <w:jc w:val="left"/>
            </w:pPr>
            <w:r>
              <w:t xml:space="preserve">¥ 7,390.00</w:t>
            </w:r>
          </w:p>
        </w:tc>
      </w:tr>
      <w:tr>
        <w:tc>
          <w:tcPr>
            <w:gridSpan w:val="4"/>
          </w:tcPr>
          <w:p>
            <w:pPr>
              <w:pStyle w:val="Compact"/>
              <w:jc w:val="right"/>
            </w:pPr>
            <w:r>
              <w:t xml:space="preserve">VAT (6% – Medical Services Tax, China):</w:t>
            </w:r>
          </w:p>
        </w:tc>
        <w:tc>
          <w:tcPr/>
          <w:p>
            <w:pPr>
              <w:pStyle w:val="Compact"/>
              <w:jc w:val="left"/>
            </w:pPr>
            <w:r>
              <w:t xml:space="preserve">¥ 443.40</w:t>
            </w:r>
          </w:p>
        </w:tc>
      </w:tr>
      <w:tr>
        <w:tc>
          <w:tcPr>
            <w:gridSpan w:val="4"/>
          </w:tcPr>
          <w:p>
            <w:pPr>
              <w:pStyle w:val="Compact"/>
              <w:jc w:val="right"/>
            </w:pPr>
            <w:r>
              <w:rPr>
                <w:bCs/>
                <w:b/>
              </w:rPr>
              <w:t xml:space="preserve">TOTAL ESTIMATED COST (CNY):</w:t>
            </w:r>
          </w:p>
        </w:tc>
        <w:tc>
          <w:tcPr/>
          <w:p>
            <w:pPr>
              <w:pStyle w:val="Compact"/>
              <w:jc w:val="left"/>
            </w:pPr>
            <w:r>
              <w:rPr>
                <w:bCs/>
                <w:b/>
              </w:rPr>
              <w:t xml:space="preserve">¥ 7,833.40</w:t>
            </w:r>
          </w:p>
        </w:tc>
      </w:tr>
    </w:tbl>
    <w:p>
      <w:pPr>
        <w:pStyle w:val="BodyText"/>
      </w:pPr>
      <w:r>
        <w:t xml:space="preserve">4. Payment Terms</w:t>
      </w:r>
    </w:p>
    <w:p>
      <w:pPr>
        <w:pStyle w:val="BodyText"/>
      </w:pPr>
      <w:r>
        <w:t xml:space="preserve">The total amount specified in this Quotation Estimate shall be payable in accordance with the following schedule: a 50% deposit (¥ 3,916.70) is due upon acceptance of this quotation and prior to the initial Doctor General Practitioner consultation. The remaining 50% balance (¥ 3,916.70) shall be settled within seven (7) calendar days following the completion of the final follow-up session. Payment may be made via bank transfer to the account of Guangzhou Metropolitan Health Centre (Bank of China, Guangzhou Branch, Account No. 7559 0000 1234 5678) or through the WeChat Pay / Alipay merchant platform registered under the clinic's business entity. All payments are denominated in Chinese Yuan (CNY / RMB). International clients may remit in USD or EUR at the prevailing exchange rate on the date of payment, with the final CNY equivalent calculated by the receiving bank.</w:t>
      </w:r>
    </w:p>
    <w:p>
      <w:pPr>
        <w:pStyle w:val="BodyText"/>
      </w:pPr>
      <w:r>
        <w:t xml:space="preserve">5. Terms and Conditions</w:t>
      </w:r>
    </w:p>
    <w:bookmarkStart w:id="23" w:name="Xf48c250d2e314979bf6e29b296defbec847a225"/>
    <w:p>
      <w:pPr>
        <w:pStyle w:val="Heading3"/>
      </w:pPr>
      <w:r>
        <w:t xml:space="preserve">Important Conditions Governing This Quotation Estimate</w:t>
      </w:r>
    </w:p>
    <w:p>
      <w:pPr>
        <w:numPr>
          <w:ilvl w:val="0"/>
          <w:numId w:val="1002"/>
        </w:numPr>
        <w:pStyle w:val="Compact"/>
      </w:pPr>
      <w:r>
        <w:t xml:space="preserve">This Quotation Estimate is valid for a period of ninety (90) days from the date of issue. Beyond this period, all prices are subject to revision based on prevailing medical service fee schedules published by the Guangzhou Municipal Healthcare Security Administration.</w:t>
      </w:r>
    </w:p>
    <w:p>
      <w:pPr>
        <w:numPr>
          <w:ilvl w:val="0"/>
          <w:numId w:val="1002"/>
        </w:numPr>
        <w:pStyle w:val="Compact"/>
      </w:pPr>
      <w:r>
        <w:t xml:space="preserve">The Doctor General Practitioner assigned to this engagement holds a valid Medical Practicing License issued by the National Health Commission of the People's Republic of China. In the event of unavoidable absence, an equivalently qualified Doctor General Practitioner will be substituted with prior written notice to the client.</w:t>
      </w:r>
    </w:p>
    <w:p>
      <w:pPr>
        <w:numPr>
          <w:ilvl w:val="0"/>
          <w:numId w:val="1002"/>
        </w:numPr>
        <w:pStyle w:val="Compact"/>
      </w:pPr>
      <w:r>
        <w:t xml:space="preserve">All medical services will be delivered in compliance with the Physician Law of the People's Republic of China, the Basic Medical and Health Care and Health Promotion Law, and all applicable regulations of the Guangzhou Municipal Health Commission.</w:t>
      </w:r>
    </w:p>
    <w:p>
      <w:pPr>
        <w:numPr>
          <w:ilvl w:val="0"/>
          <w:numId w:val="1002"/>
        </w:numPr>
        <w:pStyle w:val="Compact"/>
      </w:pPr>
      <w:r>
        <w:t xml:space="preserve">Medication costs beyond the initial 30-day supply, additional diagnostic imaging, laboratory tests not included in the Basic Diagnostic Panel, and any specialist consultations at tertiary hospitals in China Guangzhou will be billed separately and are not covered by this Quotation Estimate.</w:t>
      </w:r>
    </w:p>
    <w:p>
      <w:pPr>
        <w:numPr>
          <w:ilvl w:val="0"/>
          <w:numId w:val="1002"/>
        </w:numPr>
        <w:pStyle w:val="Compact"/>
      </w:pPr>
      <w:r>
        <w:t xml:space="preserve">The client acknowledges that this Quotation Estimate represents a good-faith projection of costs. Actual charges may vary by up to 10% depending on clinical findings, additional interventions required, or changes in the client's health status during the service period.</w:t>
      </w:r>
    </w:p>
    <w:p>
      <w:pPr>
        <w:numPr>
          <w:ilvl w:val="0"/>
          <w:numId w:val="1002"/>
        </w:numPr>
        <w:pStyle w:val="Compact"/>
      </w:pPr>
      <w:r>
        <w:t xml:space="preserve">Confidentiality of all medical records and personal health information is guaranteed in accordance with the Personal Information Protection Law of the People's Republic of China (effective 1 November 2021) and the Data Security Law.</w:t>
      </w:r>
    </w:p>
    <w:p>
      <w:pPr>
        <w:numPr>
          <w:ilvl w:val="0"/>
          <w:numId w:val="1002"/>
        </w:numPr>
        <w:pStyle w:val="Compact"/>
      </w:pPr>
      <w:r>
        <w:t xml:space="preserve">This Quotation Estimate does not constitute a guarantee of specific medical outcomes. The Doctor General Practitioner will exercise professional medical judgment in the best interest of the client at all times.</w:t>
      </w:r>
    </w:p>
    <w:p>
      <w:pPr>
        <w:numPr>
          <w:ilvl w:val="0"/>
          <w:numId w:val="1002"/>
        </w:numPr>
        <w:pStyle w:val="Compact"/>
      </w:pPr>
      <w:r>
        <w:t xml:space="preserve">Any disputes arising from the services described herein shall be resolved through negotiation, and failing that, through the Guangzhou International Arbitration Center in accordance with its rules of procedure.</w:t>
      </w:r>
    </w:p>
    <w:bookmarkEnd w:id="23"/>
    <w:p>
      <w:pPr>
        <w:pStyle w:val="FirstParagraph"/>
      </w:pPr>
      <w:r>
        <w:t xml:space="preserve">6. Acceptance and Authorization</w:t>
      </w:r>
    </w:p>
    <w:p>
      <w:pPr>
        <w:pStyle w:val="BodyText"/>
      </w:pPr>
      <w:r>
        <w:t xml:space="preserve">By signing below, the client acknowledges receipt of this Quotation Estimate for Doctor General Practitioner services in China Guangzhou, confirms understanding of all terms and conditions outlined herein, and authorizes Guangzhou Metropolitan Health Centre to proceed with the engagement of the specified medical professional. This signature does not obligate the client to commence services until the deposit has been received and a formal Service Agreement has been countersigned by both parties.</w:t>
      </w:r>
    </w:p>
    <w:p>
      <w:pPr>
        <w:pStyle w:val="BodyText"/>
      </w:pPr>
      <w:r>
        <w:rPr>
          <w:bCs/>
          <w:b/>
        </w:rPr>
        <w:t xml:space="preserve">Client Signature</w:t>
      </w:r>
      <w:r>
        <w:br/>
      </w:r>
      <w:r>
        <w:t xml:space="preserve">Name: ______________________________</w:t>
      </w:r>
      <w:r>
        <w:br/>
      </w:r>
      <w:r>
        <w:t xml:space="preserve">Date: ______________________________</w:t>
      </w:r>
    </w:p>
    <w:p>
      <w:pPr>
        <w:pStyle w:val="BodyText"/>
      </w:pPr>
      <w:r>
        <w:rPr>
          <w:bCs/>
          <w:b/>
        </w:rPr>
        <w:t xml:space="preserve">Authorized Representative – Guangzhou Metropolitan Health Centre</w:t>
      </w:r>
      <w:r>
        <w:br/>
      </w:r>
      <w:r>
        <w:t xml:space="preserve">Name: Dr. Chen Weiming, Medical Director</w:t>
      </w:r>
      <w:r>
        <w:br/>
      </w:r>
      <w:r>
        <w:t xml:space="preserve">Date: ______________________________</w:t>
      </w:r>
      <w:r>
        <w:br/>
      </w:r>
      <w:r>
        <w:t xml:space="preserve">Official Seal:</w:t>
      </w:r>
    </w:p>
    <w:p>
      <w:pPr>
        <w:pStyle w:val="BodyText"/>
      </w:pPr>
      <w:r>
        <w:t xml:space="preserve">Guangzhou Metropolitan Health Centre | Building 12, Tianhe District Medical Park, No. 388 Tianhe Road, Guangzhou, Guangdong 510630, China</w:t>
      </w:r>
    </w:p>
    <w:p>
      <w:pPr>
        <w:pStyle w:val="BodyText"/>
      </w:pPr>
      <w:r>
        <w:t xml:space="preserve">Unified Social Credit Code: 91440101MA5C8XYZ7K | Medical Institution Practice License: PDY10234567-440106</w:t>
      </w:r>
    </w:p>
    <w:p>
      <w:pPr>
        <w:pStyle w:val="BodyText"/>
      </w:pPr>
      <w:r>
        <w:t xml:space="preserve">This Quotation Estimate was generated electronically and is valid without a physical stamp. For verification, contact the issuing office at +86 20 8876 5432.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China Guangzhou</dc:title>
  <dc:creator/>
  <dc:language>en</dc:language>
  <cp:keywords/>
  <dcterms:created xsi:type="dcterms:W3CDTF">2026-10-10T09:11:48Z</dcterms:created>
  <dcterms:modified xsi:type="dcterms:W3CDTF">2026-10-10T09:11:48Z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