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Egypt</w:t>
      </w:r>
      <w:r>
        <w:t xml:space="preserve"> </w:t>
      </w:r>
      <w:r>
        <w:t xml:space="preserve">Cairo</w:t>
      </w:r>
    </w:p>
    <w:bookmarkStart w:id="21" w:name="quotation-estimate"/>
    <w:p>
      <w:pPr>
        <w:pStyle w:val="Heading1"/>
      </w:pPr>
      <w:r>
        <w:t xml:space="preserve">QUOTATION ESTIMATE</w:t>
      </w:r>
    </w:p>
    <w:bookmarkStart w:id="20" w:name="doctor-general-practitioner-services"/>
    <w:p>
      <w:pPr>
        <w:pStyle w:val="Heading2"/>
      </w:pPr>
      <w:r>
        <w:t xml:space="preserve">Doctor General Practitioner Services</w:t>
      </w:r>
    </w:p>
    <w:p>
      <w:pPr>
        <w:pStyle w:val="FirstParagraph"/>
      </w:pPr>
      <w:r>
        <w:rPr>
          <w:bCs/>
          <w:b/>
        </w:rPr>
        <w:t xml:space="preserve">Cairo, Egypt</w:t>
      </w:r>
      <w:r>
        <w:t xml:space="preserve"> </w:t>
      </w:r>
      <w:r>
        <w:t xml:space="preserve">| Al-Nasr Medical Center, 45 El Tahrir Square, Downtown Cairo, Egypt</w:t>
      </w:r>
    </w:p>
    <w:p>
      <w:pPr>
        <w:pStyle w:val="BodyText"/>
      </w:pPr>
      <w:r>
        <w:t xml:space="preserve">License No. EGY-MED-2024-08732 | Ministry of Health and Population, Republic of Egypt</w:t>
      </w:r>
    </w:p>
    <w:bookmarkEnd w:id="20"/>
    <w:bookmarkEnd w:id="21"/>
    <w:p>
      <w:pPr>
        <w:pStyle w:val="BodyText"/>
      </w:pPr>
      <w:r>
        <w:rPr>
          <w:bCs/>
          <w:b/>
        </w:rPr>
        <w:t xml:space="preserve">Quotation No.:</w:t>
      </w:r>
      <w:r>
        <w:t xml:space="preserve"> </w:t>
      </w:r>
      <w:r>
        <w:t xml:space="preserve">QTE-CAI-2025-0417</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t xml:space="preserve"> </w:t>
      </w:r>
      <w:r>
        <w:t xml:space="preserve">Mr. Ahmed Hassan El-Sayed</w:t>
      </w:r>
      <w:r>
        <w:br/>
      </w:r>
      <w:r>
        <w:rPr>
          <w:bCs/>
          <w:b/>
        </w:rPr>
        <w:t xml:space="preserve">Address:</w:t>
      </w:r>
      <w:r>
        <w:t xml:space="preserve"> </w:t>
      </w:r>
      <w:r>
        <w:t xml:space="preserve">12 Maadi Road, Cairo, Egypt</w:t>
      </w:r>
      <w:r>
        <w:br/>
      </w:r>
      <w:r>
        <w:rPr>
          <w:bCs/>
          <w:b/>
        </w:rPr>
        <w:t xml:space="preserve">Contact:</w:t>
      </w:r>
      <w:r>
        <w:t xml:space="preserve"> </w:t>
      </w:r>
      <w:r>
        <w:t xml:space="preserve">+20 100 555 7823</w:t>
      </w:r>
    </w:p>
    <w:p>
      <w:pPr>
        <w:pStyle w:val="BodyText"/>
      </w:pPr>
      <w:r>
        <w:rPr>
          <w:bCs/>
          <w:b/>
        </w:rPr>
        <w:t xml:space="preserve">Prepared By:</w:t>
      </w:r>
      <w:r>
        <w:t xml:space="preserve"> </w:t>
      </w:r>
      <w:r>
        <w:t xml:space="preserve">Dr. Mona Fathy Abdel-Rahman</w:t>
      </w:r>
      <w:r>
        <w:br/>
      </w:r>
      <w:r>
        <w:rPr>
          <w:bCs/>
          <w:b/>
        </w:rPr>
        <w:t xml:space="preserve">Designation:</w:t>
      </w:r>
      <w:r>
        <w:t xml:space="preserve"> </w:t>
      </w:r>
      <w:r>
        <w:t xml:space="preserve">Doctor General Practitioner</w:t>
      </w:r>
      <w:r>
        <w:br/>
      </w:r>
      <w:r>
        <w:rPr>
          <w:bCs/>
          <w:b/>
        </w:rPr>
        <w:t xml:space="preserve">Specialty:</w:t>
      </w:r>
      <w:r>
        <w:t xml:space="preserve"> </w:t>
      </w:r>
      <w:r>
        <w:t xml:space="preserve">Family Medicine &amp; General Practice</w:t>
      </w:r>
    </w:p>
    <w:bookmarkStart w:id="22" w:name="X591c83b09171c388f3643144ce59f3750880876"/>
    <w:p>
      <w:pPr>
        <w:pStyle w:val="Heading3"/>
      </w:pPr>
      <w:r>
        <w:t xml:space="preserve">1. Scope of Services – Doctor General Practitioner, Egypt Cairo</w:t>
      </w:r>
    </w:p>
    <w:p>
      <w:pPr>
        <w:pStyle w:val="FirstParagraph"/>
      </w:pPr>
      <w:r>
        <w:t xml:space="preserve">This</w:t>
      </w:r>
      <w:r>
        <w:t xml:space="preserve"> </w:t>
      </w:r>
      <w:r>
        <w:t xml:space="preserve">Quotation Estimate</w:t>
      </w:r>
      <w:r>
        <w:t xml:space="preserve"> </w:t>
      </w:r>
      <w:r>
        <w:t xml:space="preserve">is issued by Dr. Mona Fathy Abdel-Rahman, a licensed</w:t>
      </w:r>
      <w:r>
        <w:t xml:space="preserve"> </w:t>
      </w:r>
      <w:r>
        <w:t xml:space="preserve">Doctor General Practitioner</w:t>
      </w:r>
      <w:r>
        <w:t xml:space="preserve"> </w:t>
      </w:r>
      <w:r>
        <w:t xml:space="preserve">operating in</w:t>
      </w:r>
      <w:r>
        <w:t xml:space="preserve"> </w:t>
      </w:r>
      <w:r>
        <w:t xml:space="preserve">Egypt Cairo</w:t>
      </w:r>
      <w:r>
        <w:t xml:space="preserve">, to provide comprehensive primary healthcare services to the client named above. The services outlined below represent a full annual general practice care package tailored to the client's needs within the Cairo metropolitan area. All consultations and procedures will be conducted in compliance with the regulations set forth by the Egyptian Ministry of Health and Population and the Egyptian Medical Syndicate.</w:t>
      </w:r>
    </w:p>
    <w:bookmarkEnd w:id="22"/>
    <w:bookmarkStart w:id="23" w:name="itemized-services-and-costs"/>
    <w:p>
      <w:pPr>
        <w:pStyle w:val="Heading3"/>
      </w:pPr>
      <w:r>
        <w:t xml:space="preserve">2. Itemized Services and Costs</w:t>
      </w:r>
    </w:p>
    <w:tbl>
      <w:tblPr>
        <w:tblStyle w:val="Table"/>
        <w:tblW w:type="auto" w:w="0"/>
        <w:tblLook w:firstRow="1" w:lastRow="1"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Price (EGP)</w:t>
            </w:r>
          </w:p>
        </w:tc>
        <w:tc>
          <w:tcPr/>
          <w:p>
            <w:pPr>
              <w:pStyle w:val="Compact"/>
              <w:jc w:val="left"/>
            </w:pPr>
            <w:r>
              <w:t xml:space="preserve">Quantity</w:t>
            </w:r>
          </w:p>
        </w:tc>
        <w:tc>
          <w:tcPr/>
          <w:p>
            <w:pPr>
              <w:pStyle w:val="Compact"/>
              <w:jc w:val="left"/>
            </w:pPr>
            <w:r>
              <w:t xml:space="preserve">Total (EGP)</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Comprehensive General Practitioner Consultation (initial full physical examination, medical history review, and health assessment)</w:t>
            </w:r>
          </w:p>
        </w:tc>
        <w:tc>
          <w:tcPr/>
          <w:p>
            <w:pPr>
              <w:pStyle w:val="Compact"/>
              <w:jc w:val="left"/>
            </w:pPr>
            <w:r>
              <w:t xml:space="preserve">One-time</w:t>
            </w:r>
          </w:p>
        </w:tc>
        <w:tc>
          <w:tcPr/>
          <w:p>
            <w:pPr>
              <w:pStyle w:val="Compact"/>
              <w:jc w:val="left"/>
            </w:pPr>
            <w:r>
              <w:t xml:space="preserve">1,500</w:t>
            </w:r>
          </w:p>
        </w:tc>
        <w:tc>
          <w:tcPr/>
          <w:p>
            <w:pPr>
              <w:pStyle w:val="Compact"/>
              <w:jc w:val="left"/>
            </w:pPr>
            <w:r>
              <w:t xml:space="preserve">1</w:t>
            </w:r>
          </w:p>
        </w:tc>
        <w:tc>
          <w:tcPr/>
          <w:p>
            <w:pPr>
              <w:pStyle w:val="Compact"/>
              <w:jc w:val="left"/>
            </w:pPr>
            <w:r>
              <w:t xml:space="preserve">1,500</w:t>
            </w:r>
          </w:p>
        </w:tc>
        <w:tc>
          <w:tcPr/>
          <w:p>
            <w:pPr>
              <w:pStyle w:val="Compact"/>
              <w:jc w:val="left"/>
            </w:pPr>
            <w:r>
              <w:t xml:space="preserve">60-min session</w:t>
            </w:r>
          </w:p>
        </w:tc>
      </w:tr>
      <w:tr>
        <w:tc>
          <w:tcPr/>
          <w:p>
            <w:pPr>
              <w:pStyle w:val="Compact"/>
              <w:jc w:val="left"/>
            </w:pPr>
            <w:r>
              <w:t xml:space="preserve">2</w:t>
            </w:r>
          </w:p>
        </w:tc>
        <w:tc>
          <w:tcPr/>
          <w:p>
            <w:pPr>
              <w:pStyle w:val="Compact"/>
              <w:jc w:val="left"/>
            </w:pPr>
            <w:r>
              <w:t xml:space="preserve">Follow-up Doctor General Practitioner Consultation (routine check-up, medication review, and progress monitoring)</w:t>
            </w:r>
          </w:p>
        </w:tc>
        <w:tc>
          <w:tcPr/>
          <w:p>
            <w:pPr>
              <w:pStyle w:val="Compact"/>
              <w:jc w:val="left"/>
            </w:pPr>
            <w:r>
              <w:t xml:space="preserve">Monthly</w:t>
            </w:r>
          </w:p>
        </w:tc>
        <w:tc>
          <w:tcPr/>
          <w:p>
            <w:pPr>
              <w:pStyle w:val="Compact"/>
              <w:jc w:val="left"/>
            </w:pPr>
            <w:r>
              <w:t xml:space="preserve">800</w:t>
            </w:r>
          </w:p>
        </w:tc>
        <w:tc>
          <w:tcPr/>
          <w:p>
            <w:pPr>
              <w:pStyle w:val="Compact"/>
              <w:jc w:val="left"/>
            </w:pPr>
            <w:r>
              <w:t xml:space="preserve">12</w:t>
            </w:r>
          </w:p>
        </w:tc>
        <w:tc>
          <w:tcPr/>
          <w:p>
            <w:pPr>
              <w:pStyle w:val="Compact"/>
              <w:jc w:val="left"/>
            </w:pPr>
            <w:r>
              <w:t xml:space="preserve">9,600</w:t>
            </w:r>
          </w:p>
        </w:tc>
        <w:tc>
          <w:tcPr/>
          <w:p>
            <w:pPr>
              <w:pStyle w:val="Compact"/>
              <w:jc w:val="left"/>
            </w:pPr>
            <w:r>
              <w:t xml:space="preserve">30-min session</w:t>
            </w:r>
          </w:p>
        </w:tc>
      </w:tr>
      <w:tr>
        <w:tc>
          <w:tcPr/>
          <w:p>
            <w:pPr>
              <w:pStyle w:val="Compact"/>
              <w:jc w:val="left"/>
            </w:pPr>
            <w:r>
              <w:t xml:space="preserve">3</w:t>
            </w:r>
          </w:p>
        </w:tc>
        <w:tc>
          <w:tcPr/>
          <w:p>
            <w:pPr>
              <w:pStyle w:val="Compact"/>
              <w:jc w:val="left"/>
            </w:pPr>
            <w:r>
              <w:t xml:space="preserve">Full Blood Panel &amp; Biochemistry Tests (CBC, liver function, kidney function, lipid profile, fasting glucose, thyroid panel)</w:t>
            </w:r>
          </w:p>
        </w:tc>
        <w:tc>
          <w:tcPr/>
          <w:p>
            <w:pPr>
              <w:pStyle w:val="Compact"/>
              <w:jc w:val="left"/>
            </w:pPr>
            <w:r>
              <w:t xml:space="preserve">Quarterly</w:t>
            </w:r>
          </w:p>
        </w:tc>
        <w:tc>
          <w:tcPr/>
          <w:p>
            <w:pPr>
              <w:pStyle w:val="Compact"/>
              <w:jc w:val="left"/>
            </w:pPr>
            <w:r>
              <w:t xml:space="preserve">2,200</w:t>
            </w:r>
          </w:p>
        </w:tc>
        <w:tc>
          <w:tcPr/>
          <w:p>
            <w:pPr>
              <w:pStyle w:val="Compact"/>
              <w:jc w:val="left"/>
            </w:pPr>
            <w:r>
              <w:t xml:space="preserve">4</w:t>
            </w:r>
          </w:p>
        </w:tc>
        <w:tc>
          <w:tcPr/>
          <w:p>
            <w:pPr>
              <w:pStyle w:val="Compact"/>
              <w:jc w:val="left"/>
            </w:pPr>
            <w:r>
              <w:t xml:space="preserve">8,800</w:t>
            </w:r>
          </w:p>
        </w:tc>
        <w:tc>
          <w:tcPr/>
          <w:p>
            <w:pPr>
              <w:pStyle w:val="Compact"/>
              <w:jc w:val="left"/>
            </w:pPr>
            <w:r>
              <w:t xml:space="preserve">Lab: Cairo Diagnostics</w:t>
            </w:r>
          </w:p>
        </w:tc>
      </w:tr>
      <w:tr>
        <w:tc>
          <w:tcPr/>
          <w:p>
            <w:pPr>
              <w:pStyle w:val="Compact"/>
              <w:jc w:val="left"/>
            </w:pPr>
            <w:r>
              <w:t xml:space="preserve">4</w:t>
            </w:r>
          </w:p>
        </w:tc>
        <w:tc>
          <w:tcPr/>
          <w:p>
            <w:pPr>
              <w:pStyle w:val="Compact"/>
              <w:jc w:val="left"/>
            </w:pPr>
            <w:r>
              <w:t xml:space="preserve">Electrocardiogram (ECG) &amp; Basic Cardiac Screening</w:t>
            </w:r>
          </w:p>
        </w:tc>
        <w:tc>
          <w:tcPr/>
          <w:p>
            <w:pPr>
              <w:pStyle w:val="Compact"/>
              <w:jc w:val="left"/>
            </w:pPr>
            <w:r>
              <w:t xml:space="preserve">Bi-annually</w:t>
            </w:r>
          </w:p>
        </w:tc>
        <w:tc>
          <w:tcPr/>
          <w:p>
            <w:pPr>
              <w:pStyle w:val="Compact"/>
              <w:jc w:val="left"/>
            </w:pPr>
            <w:r>
              <w:t xml:space="preserve">650</w:t>
            </w:r>
          </w:p>
        </w:tc>
        <w:tc>
          <w:tcPr/>
          <w:p>
            <w:pPr>
              <w:pStyle w:val="Compact"/>
              <w:jc w:val="left"/>
            </w:pPr>
            <w:r>
              <w:t xml:space="preserve">2</w:t>
            </w:r>
          </w:p>
        </w:tc>
        <w:tc>
          <w:tcPr/>
          <w:p>
            <w:pPr>
              <w:pStyle w:val="Compact"/>
              <w:jc w:val="left"/>
            </w:pPr>
            <w:r>
              <w:t xml:space="preserve">1,300</w:t>
            </w:r>
          </w:p>
        </w:tc>
        <w:tc>
          <w:tcPr/>
          <w:p>
            <w:pPr>
              <w:pStyle w:val="Compact"/>
              <w:jc w:val="left"/>
            </w:pPr>
            <w:r>
              <w:t xml:space="preserve">In-clinic</w:t>
            </w:r>
          </w:p>
        </w:tc>
      </w:tr>
      <w:tr>
        <w:tc>
          <w:tcPr/>
          <w:p>
            <w:pPr>
              <w:pStyle w:val="Compact"/>
              <w:jc w:val="left"/>
            </w:pPr>
            <w:r>
              <w:t xml:space="preserve">5</w:t>
            </w:r>
          </w:p>
        </w:tc>
        <w:tc>
          <w:tcPr/>
          <w:p>
            <w:pPr>
              <w:pStyle w:val="Compact"/>
              <w:jc w:val="left"/>
            </w:pPr>
            <w:r>
              <w:t xml:space="preserve">Chest X-Ray (PA view) – Annual Screening</w:t>
            </w:r>
          </w:p>
        </w:tc>
        <w:tc>
          <w:tcPr/>
          <w:p>
            <w:pPr>
              <w:pStyle w:val="Compact"/>
              <w:jc w:val="left"/>
            </w:pPr>
            <w:r>
              <w:t xml:space="preserve">Annually</w:t>
            </w:r>
          </w:p>
        </w:tc>
        <w:tc>
          <w:tcPr/>
          <w:p>
            <w:pPr>
              <w:pStyle w:val="Compact"/>
              <w:jc w:val="left"/>
            </w:pPr>
            <w:r>
              <w:t xml:space="preserve">450</w:t>
            </w:r>
          </w:p>
        </w:tc>
        <w:tc>
          <w:tcPr/>
          <w:p>
            <w:pPr>
              <w:pStyle w:val="Compact"/>
              <w:jc w:val="left"/>
            </w:pPr>
            <w:r>
              <w:t xml:space="preserve">1</w:t>
            </w:r>
          </w:p>
        </w:tc>
        <w:tc>
          <w:tcPr/>
          <w:p>
            <w:pPr>
              <w:pStyle w:val="Compact"/>
              <w:jc w:val="left"/>
            </w:pPr>
            <w:r>
              <w:t xml:space="preserve">450</w:t>
            </w:r>
          </w:p>
        </w:tc>
        <w:tc>
          <w:tcPr/>
          <w:p>
            <w:pPr>
              <w:pStyle w:val="Compact"/>
              <w:jc w:val="left"/>
            </w:pPr>
            <w:r>
              <w:t xml:space="preserve">Radiology dept.</w:t>
            </w:r>
          </w:p>
        </w:tc>
      </w:tr>
      <w:tr>
        <w:tc>
          <w:tcPr/>
          <w:p>
            <w:pPr>
              <w:pStyle w:val="Compact"/>
              <w:jc w:val="left"/>
            </w:pPr>
            <w:r>
              <w:t xml:space="preserve">6</w:t>
            </w:r>
          </w:p>
        </w:tc>
        <w:tc>
          <w:tcPr/>
          <w:p>
            <w:pPr>
              <w:pStyle w:val="Compact"/>
              <w:jc w:val="left"/>
            </w:pPr>
            <w:r>
              <w:t xml:space="preserve">Abdominal &amp; Pelvic Ultrasound</w:t>
            </w:r>
          </w:p>
        </w:tc>
        <w:tc>
          <w:tcPr/>
          <w:p>
            <w:pPr>
              <w:pStyle w:val="Compact"/>
              <w:jc w:val="left"/>
            </w:pPr>
            <w:r>
              <w:t xml:space="preserve">Annually</w:t>
            </w:r>
          </w:p>
        </w:tc>
        <w:tc>
          <w:tcPr/>
          <w:p>
            <w:pPr>
              <w:pStyle w:val="Compact"/>
              <w:jc w:val="left"/>
            </w:pPr>
            <w:r>
              <w:t xml:space="preserve">900</w:t>
            </w:r>
          </w:p>
        </w:tc>
        <w:tc>
          <w:tcPr/>
          <w:p>
            <w:pPr>
              <w:pStyle w:val="Compact"/>
              <w:jc w:val="left"/>
            </w:pPr>
            <w:r>
              <w:t xml:space="preserve">1</w:t>
            </w:r>
          </w:p>
        </w:tc>
        <w:tc>
          <w:tcPr/>
          <w:p>
            <w:pPr>
              <w:pStyle w:val="Compact"/>
              <w:jc w:val="left"/>
            </w:pPr>
            <w:r>
              <w:t xml:space="preserve">900</w:t>
            </w:r>
          </w:p>
        </w:tc>
        <w:tc>
          <w:tcPr/>
          <w:p>
            <w:pPr>
              <w:pStyle w:val="Compact"/>
              <w:jc w:val="left"/>
            </w:pPr>
            <w:r>
              <w:t xml:space="preserve">Includes report</w:t>
            </w:r>
          </w:p>
        </w:tc>
      </w:tr>
      <w:tr>
        <w:tc>
          <w:tcPr/>
          <w:p>
            <w:pPr>
              <w:pStyle w:val="Compact"/>
              <w:jc w:val="left"/>
            </w:pPr>
            <w:r>
              <w:t xml:space="preserve">7</w:t>
            </w:r>
          </w:p>
        </w:tc>
        <w:tc>
          <w:tcPr/>
          <w:p>
            <w:pPr>
              <w:pStyle w:val="Compact"/>
              <w:jc w:val="left"/>
            </w:pPr>
            <w:r>
              <w:t xml:space="preserve">Vaccination Administration (annual flu shot, tetanus booster, or as recommended by the Doctor General Practitioner)</w:t>
            </w:r>
          </w:p>
        </w:tc>
        <w:tc>
          <w:tcPr/>
          <w:p>
            <w:pPr>
              <w:pStyle w:val="Compact"/>
              <w:jc w:val="left"/>
            </w:pPr>
            <w:r>
              <w:t xml:space="preserve">As needed</w:t>
            </w:r>
          </w:p>
        </w:tc>
        <w:tc>
          <w:tcPr/>
          <w:p>
            <w:pPr>
              <w:pStyle w:val="Compact"/>
              <w:jc w:val="left"/>
            </w:pPr>
            <w:r>
              <w:t xml:space="preserve">350</w:t>
            </w:r>
          </w:p>
        </w:tc>
        <w:tc>
          <w:tcPr/>
          <w:p>
            <w:pPr>
              <w:pStyle w:val="Compact"/>
              <w:jc w:val="left"/>
            </w:pPr>
            <w:r>
              <w:t xml:space="preserve">2</w:t>
            </w:r>
          </w:p>
        </w:tc>
        <w:tc>
          <w:tcPr/>
          <w:p>
            <w:pPr>
              <w:pStyle w:val="Compact"/>
              <w:jc w:val="left"/>
            </w:pPr>
            <w:r>
              <w:t xml:space="preserve">700</w:t>
            </w:r>
          </w:p>
        </w:tc>
        <w:tc>
          <w:tcPr/>
          <w:p>
            <w:pPr>
              <w:pStyle w:val="Compact"/>
              <w:jc w:val="left"/>
            </w:pPr>
            <w:r>
              <w:t xml:space="preserve">Per dose</w:t>
            </w:r>
          </w:p>
        </w:tc>
      </w:tr>
      <w:tr>
        <w:tc>
          <w:tcPr/>
          <w:p>
            <w:pPr>
              <w:pStyle w:val="Compact"/>
              <w:jc w:val="left"/>
            </w:pPr>
            <w:r>
              <w:t xml:space="preserve">8</w:t>
            </w:r>
          </w:p>
        </w:tc>
        <w:tc>
          <w:tcPr/>
          <w:p>
            <w:pPr>
              <w:pStyle w:val="Compact"/>
              <w:jc w:val="left"/>
            </w:pPr>
            <w:r>
              <w:t xml:space="preserve">Prescription Medications – Annual Estimate (chronic condition management, vitamins, supplements)</w:t>
            </w:r>
          </w:p>
        </w:tc>
        <w:tc>
          <w:tcPr/>
          <w:p>
            <w:pPr>
              <w:pStyle w:val="Compact"/>
              <w:jc w:val="left"/>
            </w:pPr>
            <w:r>
              <w:t xml:space="preserve">Annually</w:t>
            </w:r>
          </w:p>
        </w:tc>
        <w:tc>
          <w:tcPr/>
          <w:p>
            <w:pPr>
              <w:pStyle w:val="Compact"/>
              <w:jc w:val="left"/>
            </w:pPr>
            <w:r>
              <w:t xml:space="preserve">1,200</w:t>
            </w:r>
          </w:p>
        </w:tc>
        <w:tc>
          <w:tcPr/>
          <w:p>
            <w:pPr>
              <w:pStyle w:val="Compact"/>
              <w:jc w:val="left"/>
            </w:pPr>
            <w:r>
              <w:t xml:space="preserve">1</w:t>
            </w:r>
          </w:p>
        </w:tc>
        <w:tc>
          <w:tcPr/>
          <w:p>
            <w:pPr>
              <w:pStyle w:val="Compact"/>
              <w:jc w:val="left"/>
            </w:pPr>
            <w:r>
              <w:t xml:space="preserve">1,200</w:t>
            </w:r>
          </w:p>
        </w:tc>
        <w:tc>
          <w:tcPr/>
          <w:p>
            <w:pPr>
              <w:pStyle w:val="Compact"/>
              <w:jc w:val="left"/>
            </w:pPr>
            <w:r>
              <w:t xml:space="preserve">Approximate</w:t>
            </w:r>
          </w:p>
        </w:tc>
      </w:tr>
      <w:tr>
        <w:tc>
          <w:tcPr/>
          <w:p>
            <w:pPr>
              <w:pStyle w:val="Compact"/>
              <w:jc w:val="left"/>
            </w:pPr>
            <w:r>
              <w:t xml:space="preserve">9</w:t>
            </w:r>
          </w:p>
        </w:tc>
        <w:tc>
          <w:tcPr/>
          <w:p>
            <w:pPr>
              <w:pStyle w:val="Compact"/>
              <w:jc w:val="left"/>
            </w:pPr>
            <w:r>
              <w:t xml:space="preserve">Home Visit by Doctor General Practitioner (for elderly or mobility-impaired patients within Cairo city limits)</w:t>
            </w:r>
          </w:p>
        </w:tc>
        <w:tc>
          <w:tcPr/>
          <w:p>
            <w:pPr>
              <w:pStyle w:val="Compact"/>
              <w:jc w:val="left"/>
            </w:pPr>
            <w:r>
              <w:t xml:space="preserve">As needed</w:t>
            </w:r>
          </w:p>
        </w:tc>
        <w:tc>
          <w:tcPr/>
          <w:p>
            <w:pPr>
              <w:pStyle w:val="Compact"/>
              <w:jc w:val="left"/>
            </w:pPr>
            <w:r>
              <w:t xml:space="preserve">1,800</w:t>
            </w:r>
          </w:p>
        </w:tc>
        <w:tc>
          <w:tcPr/>
          <w:p>
            <w:pPr>
              <w:pStyle w:val="Compact"/>
              <w:jc w:val="left"/>
            </w:pPr>
            <w:r>
              <w:t xml:space="preserve">2</w:t>
            </w:r>
          </w:p>
        </w:tc>
        <w:tc>
          <w:tcPr/>
          <w:p>
            <w:pPr>
              <w:pStyle w:val="Compact"/>
              <w:jc w:val="left"/>
            </w:pPr>
            <w:r>
              <w:t xml:space="preserve">3,600</w:t>
            </w:r>
          </w:p>
        </w:tc>
        <w:tc>
          <w:tcPr/>
          <w:p>
            <w:pPr>
              <w:pStyle w:val="Compact"/>
              <w:jc w:val="left"/>
            </w:pPr>
            <w:r>
              <w:t xml:space="preserve">Within 10 km radius</w:t>
            </w:r>
          </w:p>
        </w:tc>
      </w:tr>
      <w:tr>
        <w:tc>
          <w:tcPr/>
          <w:p>
            <w:pPr>
              <w:pStyle w:val="Compact"/>
              <w:jc w:val="left"/>
            </w:pPr>
            <w:r>
              <w:t xml:space="preserve">10</w:t>
            </w:r>
          </w:p>
        </w:tc>
        <w:tc>
          <w:tcPr/>
          <w:p>
            <w:pPr>
              <w:pStyle w:val="Compact"/>
              <w:jc w:val="left"/>
            </w:pPr>
            <w:r>
              <w:t xml:space="preserve">Telemedicine / Video Consultation with Doctor General Practitioner (for minor follow-ups or medication refills)</w:t>
            </w:r>
          </w:p>
        </w:tc>
        <w:tc>
          <w:tcPr/>
          <w:p>
            <w:pPr>
              <w:pStyle w:val="Compact"/>
              <w:jc w:val="left"/>
            </w:pPr>
            <w:r>
              <w:t xml:space="preserve">As needed</w:t>
            </w:r>
          </w:p>
        </w:tc>
        <w:tc>
          <w:tcPr/>
          <w:p>
            <w:pPr>
              <w:pStyle w:val="Compact"/>
              <w:jc w:val="left"/>
            </w:pPr>
            <w:r>
              <w:t xml:space="preserve">400</w:t>
            </w:r>
          </w:p>
        </w:tc>
        <w:tc>
          <w:tcPr/>
          <w:p>
            <w:pPr>
              <w:pStyle w:val="Compact"/>
              <w:jc w:val="left"/>
            </w:pPr>
            <w:r>
              <w:t xml:space="preserve">4</w:t>
            </w:r>
          </w:p>
        </w:tc>
        <w:tc>
          <w:tcPr/>
          <w:p>
            <w:pPr>
              <w:pStyle w:val="Compact"/>
              <w:jc w:val="left"/>
            </w:pPr>
            <w:r>
              <w:t xml:space="preserve">1,600</w:t>
            </w:r>
          </w:p>
        </w:tc>
        <w:tc>
          <w:tcPr/>
          <w:p>
            <w:pPr>
              <w:pStyle w:val="Compact"/>
              <w:jc w:val="left"/>
            </w:pPr>
            <w:r>
              <w:t xml:space="preserve">20-min call</w:t>
            </w:r>
          </w:p>
        </w:tc>
      </w:tr>
      <w:tr>
        <w:tc>
          <w:tcPr/>
          <w:p>
            <w:pPr>
              <w:pStyle w:val="Compact"/>
              <w:jc w:val="left"/>
            </w:pPr>
            <w:r>
              <w:t xml:space="preserve">11</w:t>
            </w:r>
          </w:p>
        </w:tc>
        <w:tc>
          <w:tcPr/>
          <w:p>
            <w:pPr>
              <w:pStyle w:val="Compact"/>
              <w:jc w:val="left"/>
            </w:pPr>
            <w:r>
              <w:t xml:space="preserve">Referral Coordination &amp; Specialist Follow-up Management (arranging appointments with specialists in Cairo hospitals)</w:t>
            </w:r>
          </w:p>
        </w:tc>
        <w:tc>
          <w:tcPr/>
          <w:p>
            <w:pPr>
              <w:pStyle w:val="Compact"/>
              <w:jc w:val="left"/>
            </w:pPr>
            <w:r>
              <w:t xml:space="preserve">As needed</w:t>
            </w:r>
          </w:p>
        </w:tc>
        <w:tc>
          <w:tcPr/>
          <w:p>
            <w:pPr>
              <w:pStyle w:val="Compact"/>
              <w:jc w:val="left"/>
            </w:pPr>
            <w:r>
              <w:t xml:space="preserve">500</w:t>
            </w:r>
          </w:p>
        </w:tc>
        <w:tc>
          <w:tcPr/>
          <w:p>
            <w:pPr>
              <w:pStyle w:val="Compact"/>
              <w:jc w:val="left"/>
            </w:pPr>
            <w:r>
              <w:t xml:space="preserve">2</w:t>
            </w:r>
          </w:p>
        </w:tc>
        <w:tc>
          <w:tcPr/>
          <w:p>
            <w:pPr>
              <w:pStyle w:val="Compact"/>
              <w:jc w:val="left"/>
            </w:pPr>
            <w:r>
              <w:t xml:space="preserve">1,000</w:t>
            </w:r>
          </w:p>
        </w:tc>
        <w:tc>
          <w:tcPr/>
          <w:p>
            <w:pPr>
              <w:pStyle w:val="Compact"/>
              <w:jc w:val="left"/>
            </w:pPr>
            <w:r>
              <w:t xml:space="preserve">Admin fee</w:t>
            </w:r>
          </w:p>
        </w:tc>
      </w:tr>
      <w:tr>
        <w:tc>
          <w:tcPr/>
          <w:p>
            <w:pPr>
              <w:pStyle w:val="Compact"/>
              <w:jc w:val="left"/>
            </w:pPr>
            <w:r>
              <w:t xml:space="preserve">12</w:t>
            </w:r>
          </w:p>
        </w:tc>
        <w:tc>
          <w:tcPr/>
          <w:p>
            <w:pPr>
              <w:pStyle w:val="Compact"/>
              <w:jc w:val="left"/>
            </w:pPr>
            <w:r>
              <w:t xml:space="preserve">Annual Health Report &amp; Preventive Care Plan (written summary, lifestyle recommendations, and next-year plan)</w:t>
            </w:r>
          </w:p>
        </w:tc>
        <w:tc>
          <w:tcPr/>
          <w:p>
            <w:pPr>
              <w:pStyle w:val="Compact"/>
              <w:jc w:val="left"/>
            </w:pPr>
            <w:r>
              <w:t xml:space="preserve">Annually</w:t>
            </w:r>
          </w:p>
        </w:tc>
        <w:tc>
          <w:tcPr/>
          <w:p>
            <w:pPr>
              <w:pStyle w:val="Compact"/>
              <w:jc w:val="left"/>
            </w:pPr>
            <w:r>
              <w:t xml:space="preserve">750</w:t>
            </w:r>
          </w:p>
        </w:tc>
        <w:tc>
          <w:tcPr/>
          <w:p>
            <w:pPr>
              <w:pStyle w:val="Compact"/>
              <w:jc w:val="left"/>
            </w:pPr>
            <w:r>
              <w:t xml:space="preserve">1</w:t>
            </w:r>
          </w:p>
        </w:tc>
        <w:tc>
          <w:tcPr/>
          <w:p>
            <w:pPr>
              <w:pStyle w:val="Compact"/>
              <w:jc w:val="left"/>
            </w:pPr>
            <w:r>
              <w:t xml:space="preserve">750</w:t>
            </w:r>
          </w:p>
        </w:tc>
        <w:tc>
          <w:tcPr/>
          <w:p>
            <w:pPr>
              <w:pStyle w:val="Compact"/>
              <w:jc w:val="left"/>
            </w:pPr>
            <w:r>
              <w:t xml:space="preserve">English &amp; Arabic</w:t>
            </w:r>
          </w:p>
        </w:tc>
      </w:tr>
      <w:tr>
        <w:tc>
          <w:tcPr>
            <w:gridSpan w:val="5"/>
          </w:tcPr>
          <w:p>
            <w:pPr>
              <w:pStyle w:val="Compact"/>
              <w:jc w:val="right"/>
            </w:pPr>
            <w:r>
              <w:t xml:space="preserve">Subtotal (EGP):</w:t>
            </w:r>
          </w:p>
        </w:tc>
        <w:tc>
          <w:tcPr/>
          <w:p>
            <w:pPr>
              <w:pStyle w:val="Compact"/>
              <w:jc w:val="left"/>
            </w:pPr>
            <w:r>
              <w:t xml:space="preserve">31,400</w:t>
            </w:r>
          </w:p>
        </w:tc>
        <w:tc>
          <w:tcPr/>
          <w:p>
            <w:pPr>
              <w:pStyle w:val="Compact"/>
            </w:pPr>
          </w:p>
        </w:tc>
      </w:tr>
      <w:tr>
        <w:tc>
          <w:tcPr>
            <w:gridSpan w:val="5"/>
          </w:tcPr>
          <w:p>
            <w:pPr>
              <w:pStyle w:val="Compact"/>
              <w:jc w:val="right"/>
            </w:pPr>
            <w:r>
              <w:t xml:space="preserve">VAT (14% – Egyptian Tax Authority):</w:t>
            </w:r>
          </w:p>
        </w:tc>
        <w:tc>
          <w:tcPr/>
          <w:p>
            <w:pPr>
              <w:pStyle w:val="Compact"/>
              <w:jc w:val="left"/>
            </w:pPr>
            <w:r>
              <w:t xml:space="preserve">4,396</w:t>
            </w:r>
          </w:p>
        </w:tc>
        <w:tc>
          <w:tcPr/>
          <w:p>
            <w:pPr>
              <w:pStyle w:val="Compact"/>
            </w:pPr>
          </w:p>
        </w:tc>
      </w:tr>
      <w:tr>
        <w:tc>
          <w:tcPr>
            <w:gridSpan w:val="5"/>
          </w:tcPr>
          <w:p>
            <w:pPr>
              <w:pStyle w:val="Compact"/>
              <w:jc w:val="right"/>
            </w:pPr>
            <w:r>
              <w:t xml:space="preserve">TOTAL ESTIMATED COST (EGP):</w:t>
            </w:r>
          </w:p>
        </w:tc>
        <w:tc>
          <w:tcPr/>
          <w:p>
            <w:pPr>
              <w:pStyle w:val="Compact"/>
              <w:jc w:val="left"/>
            </w:pPr>
            <w:r>
              <w:t xml:space="preserve">35,796</w:t>
            </w:r>
          </w:p>
        </w:tc>
        <w:tc>
          <w:tcPr/>
          <w:p>
            <w:pPr>
              <w:pStyle w:val="Compact"/>
            </w:pPr>
          </w:p>
        </w:tc>
      </w:tr>
    </w:tbl>
    <w:p>
      <w:pPr>
        <w:pStyle w:val="BodyText"/>
      </w:pPr>
      <w:r>
        <w:rPr>
          <w:bCs/>
          <w:b/>
        </w:rPr>
        <w:t xml:space="preserve">Note:</w:t>
      </w:r>
      <w:r>
        <w:t xml:space="preserve"> </w:t>
      </w:r>
      <w:r>
        <w:t xml:space="preserve">All prices are quoted in Egyptian Pounds (EGP) and are subject to the 14% Value Added Tax (VAT) as mandated by the Egyptian Tax Authority. This Quotation Estimate is valid for 30 calendar days from the date of issue. Prices may be adjusted in accordance with any changes in the Egyptian government's healthcare pricing guidelines or the Egyptian Medical Syndicate fee schedule.</w:t>
      </w:r>
    </w:p>
    <w:bookmarkEnd w:id="23"/>
    <w:bookmarkStart w:id="24" w:name="terms-and-conditions"/>
    <w:p>
      <w:pPr>
        <w:pStyle w:val="Heading3"/>
      </w:pPr>
      <w:r>
        <w:t xml:space="preserve">3. Terms and Conditions</w:t>
      </w:r>
    </w:p>
    <w:p>
      <w:pPr>
        <w:numPr>
          <w:ilvl w:val="0"/>
          <w:numId w:val="1001"/>
        </w:numPr>
        <w:pStyle w:val="Compact"/>
      </w:pPr>
      <w:r>
        <w:t xml:space="preserve">This Quotation Estimate is a non-binding financial projection and does not constitute a contractual obligation until formally accepted in writing by both parties.</w:t>
      </w:r>
    </w:p>
    <w:p>
      <w:pPr>
        <w:numPr>
          <w:ilvl w:val="0"/>
          <w:numId w:val="1001"/>
        </w:numPr>
        <w:pStyle w:val="Compact"/>
      </w:pPr>
      <w:r>
        <w:t xml:space="preserve">All services will be delivered by Dr. Mona Fathy Abdel-Rahman, a registered Doctor General Practitioner with the Egyptian Medical Syndicate (License No. 45218), at the Al-Nasr Medical Center clinic located in Downtown Cairo, Egypt, or at the client's residence within Cairo city limits for home visits.</w:t>
      </w:r>
    </w:p>
    <w:p>
      <w:pPr>
        <w:numPr>
          <w:ilvl w:val="0"/>
          <w:numId w:val="1001"/>
        </w:numPr>
        <w:pStyle w:val="Compact"/>
      </w:pPr>
      <w:r>
        <w:t xml:space="preserve">Payment is due within 15 business days of the date of this Quotation Estimate. Accepted payment methods include bank transfer (CIB, NBE, or QNB), cash, or major credit/debit cards. A 5% late payment surcharge applies after the due date.</w:t>
      </w:r>
    </w:p>
    <w:p>
      <w:pPr>
        <w:numPr>
          <w:ilvl w:val="0"/>
          <w:numId w:val="1001"/>
        </w:numPr>
        <w:pStyle w:val="Compact"/>
      </w:pPr>
      <w:r>
        <w:t xml:space="preserve">The client agrees to provide accurate medical history and disclose all current medications, allergies, and pre-existing conditions prior to each consultation with the Doctor General Practitioner.</w:t>
      </w:r>
    </w:p>
    <w:p>
      <w:pPr>
        <w:numPr>
          <w:ilvl w:val="0"/>
          <w:numId w:val="1001"/>
        </w:numPr>
        <w:pStyle w:val="Compact"/>
      </w:pPr>
      <w:r>
        <w:t xml:space="preserve">Cancellations of scheduled appointments must be made at least 24 hours in advance. Late cancellations or no-shows will incur a fee of 50% of the consultation charge.</w:t>
      </w:r>
    </w:p>
    <w:p>
      <w:pPr>
        <w:numPr>
          <w:ilvl w:val="0"/>
          <w:numId w:val="1001"/>
        </w:numPr>
        <w:pStyle w:val="Compact"/>
      </w:pPr>
      <w:r>
        <w:t xml:space="preserve">All medical records, test results, and reports generated under this Quotation Estimate are the property of the client and may be requested in duplicate at no additional cost.</w:t>
      </w:r>
    </w:p>
    <w:p>
      <w:pPr>
        <w:numPr>
          <w:ilvl w:val="0"/>
          <w:numId w:val="1001"/>
        </w:numPr>
        <w:pStyle w:val="Compact"/>
      </w:pPr>
      <w:r>
        <w:t xml:space="preserve">This Quotation Estimate does not cover emergency medical services, surgical procedures, or inpatient hospitalization. In the event of an emergency, the Doctor General Practitioner will refer the client to the nearest appropriate hospital in Cairo (e.g., Aswan University Hospital, Dar Al-Fikra, or Cleopatra Hospital).</w:t>
      </w:r>
    </w:p>
    <w:p>
      <w:pPr>
        <w:numPr>
          <w:ilvl w:val="0"/>
          <w:numId w:val="1001"/>
        </w:numPr>
        <w:pStyle w:val="Compact"/>
      </w:pPr>
      <w:r>
        <w:t xml:space="preserve">Confidentiality of all patient information is maintained in strict accordance with Egyptian Law No. 153 of 2020 on the Protection of Personal Data and the ethical code of the Egyptian Medical Syndicate.</w:t>
      </w:r>
    </w:p>
    <w:p>
      <w:pPr>
        <w:numPr>
          <w:ilvl w:val="0"/>
          <w:numId w:val="1001"/>
        </w:numPr>
        <w:pStyle w:val="Compact"/>
      </w:pPr>
      <w:r>
        <w:t xml:space="preserve">Any services not explicitly listed in this Quotation Estimate will be quoted separately and require prior written approval from the client before being performed.</w:t>
      </w:r>
    </w:p>
    <w:p>
      <w:pPr>
        <w:numPr>
          <w:ilvl w:val="0"/>
          <w:numId w:val="1001"/>
        </w:numPr>
        <w:pStyle w:val="Compact"/>
      </w:pPr>
      <w:r>
        <w:t xml:space="preserve">This Quotation Estimate is governed by the laws of the Arab Republic of Egypt. Any disputes arising from the services described herein shall be subject to the jurisdiction of the competent courts in Cairo, Egypt.</w:t>
      </w:r>
    </w:p>
    <w:bookmarkEnd w:id="24"/>
    <w:bookmarkStart w:id="25" w:name="acceptance-and-authorization"/>
    <w:p>
      <w:pPr>
        <w:pStyle w:val="Heading3"/>
      </w:pPr>
      <w:r>
        <w:t xml:space="preserve">4. Acceptance and Authorization</w:t>
      </w:r>
    </w:p>
    <w:p>
      <w:pPr>
        <w:pStyle w:val="FirstParagraph"/>
      </w:pPr>
      <w:r>
        <w:t xml:space="preserve">By signing below, the client acknowledges receipt of this Quotation Estimate for Doctor General Practitioner services in Egypt Cairo and agrees to the terms, conditions, and estimated costs outlined above. The service provider confirms that all listed services will be rendered with the highest standard of medical care in accordance with Egyptian healthcare regulations.</w:t>
      </w:r>
    </w:p>
    <w:p>
      <w:pPr>
        <w:pStyle w:val="BodyText"/>
      </w:pPr>
      <w:r>
        <w:rPr>
          <w:bCs/>
          <w:b/>
        </w:rPr>
        <w:t xml:space="preserve">Client Signature</w:t>
      </w:r>
      <w:r>
        <w:br/>
      </w:r>
      <w:r>
        <w:t xml:space="preserve">Name: Mr. Ahmed Hassan El-Sayed</w:t>
      </w:r>
      <w:r>
        <w:br/>
      </w:r>
      <w:r>
        <w:t xml:space="preserve">Date: ______________________</w:t>
      </w:r>
    </w:p>
    <w:p>
      <w:pPr>
        <w:pStyle w:val="BodyText"/>
      </w:pPr>
      <w:r>
        <w:rPr>
          <w:bCs/>
          <w:b/>
        </w:rPr>
        <w:t xml:space="preserve">Service Provider Signature</w:t>
      </w:r>
      <w:r>
        <w:br/>
      </w:r>
      <w:r>
        <w:t xml:space="preserve">Name: Dr. Mona Fathy Abdel-Rahman</w:t>
      </w:r>
      <w:r>
        <w:br/>
      </w:r>
      <w:r>
        <w:t xml:space="preserve">Doctor General Practitioner, Cairo, Egypt</w:t>
      </w:r>
      <w:r>
        <w:br/>
      </w:r>
      <w:r>
        <w:t xml:space="preserve">Date: ______________________</w:t>
      </w:r>
    </w:p>
    <w:p>
      <w:pPr>
        <w:pStyle w:val="BodyText"/>
      </w:pPr>
      <w:r>
        <w:rPr>
          <w:bCs/>
          <w:b/>
        </w:rPr>
        <w:t xml:space="preserve">Al-Nasr Medical Center</w:t>
      </w:r>
      <w:r>
        <w:t xml:space="preserve"> </w:t>
      </w:r>
      <w:r>
        <w:t xml:space="preserve">| 45 El Tahrir Square, Downtown Cairo, Egypt | Tel: +20 2 2578 4410 | Email: info@alnasrmedcenter.eg</w:t>
      </w:r>
    </w:p>
    <w:p>
      <w:pPr>
        <w:pStyle w:val="BodyText"/>
      </w:pPr>
      <w:r>
        <w:t xml:space="preserve">Document Reference: QTE-CAI-2025-0417 | Page 1 of 1 | This Quotation Estimate was generated on 15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Egypt Cairo</dc:title>
  <dc:creator/>
  <dc:language>en</dc:language>
  <cp:keywords/>
  <dcterms:created xsi:type="dcterms:W3CDTF">2026-10-10T09:00:00Z</dcterms:created>
  <dcterms:modified xsi:type="dcterms:W3CDTF">2026-10-10T09:00:00Z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