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Germany</w:t>
      </w:r>
      <w:r>
        <w:t xml:space="preserve"> </w:t>
      </w:r>
      <w:r>
        <w:t xml:space="preserve">Berlin</w:t>
      </w:r>
    </w:p>
    <w:bookmarkStart w:id="20" w:name="praxis-dr.-med.-heinrich-vogel"/>
    <w:p>
      <w:pPr>
        <w:pStyle w:val="Heading1"/>
      </w:pPr>
      <w:r>
        <w:t xml:space="preserve">Praxis Dr. med. Heinrich Vogel</w:t>
      </w:r>
    </w:p>
    <w:p>
      <w:pPr>
        <w:pStyle w:val="FirstParagraph"/>
      </w:pPr>
      <w:r>
        <w:t xml:space="preserve">Doctor General Practitioner (Hausarzt) — Berlin, Germany</w:t>
      </w:r>
    </w:p>
    <w:p>
      <w:pPr>
        <w:pStyle w:val="BodyText"/>
      </w:pPr>
      <w:r>
        <w:t xml:space="preserve">Invalidenstraße 42, 10115 Berlin-Mitte, Germany</w:t>
      </w:r>
    </w:p>
    <w:p>
      <w:pPr>
        <w:pStyle w:val="BodyText"/>
      </w:pPr>
      <w:r>
        <w:t xml:space="preserve">Phone: +49 (0)30 555 1234  |  Email: praxis@dr-vogel-berlin.de</w:t>
      </w:r>
    </w:p>
    <w:p>
      <w:pPr>
        <w:pStyle w:val="BodyText"/>
      </w:pPr>
      <w:r>
        <w:t xml:space="preserve">License No.: B-2019-4471  |  Kassenärztliche Vereinigung Berlin (KVB) Member</w:t>
      </w:r>
    </w:p>
    <w:p>
      <w:pPr>
        <w:pStyle w:val="BodyText"/>
      </w:pPr>
      <w:r>
        <w:t xml:space="preserve">Quotation Estimate — Germany Berlin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Prepared By:</w:t>
      </w:r>
      <w:r>
        <w:t xml:space="preserve"> </w:t>
      </w:r>
      <w:r>
        <w:t xml:space="preserve">Dr. med. Heinrich Vogel, Doctor General Practitioner</w:t>
      </w:r>
    </w:p>
    <w:bookmarkEnd w:id="21"/>
    <w:bookmarkStart w:id="22" w:name="client-patient-information"/>
    <w:p>
      <w:pPr>
        <w:pStyle w:val="Heading3"/>
      </w:pPr>
      <w:r>
        <w:t xml:space="preserve">Client / Patient Information</w:t>
      </w:r>
    </w:p>
    <w:p>
      <w:pPr>
        <w:pStyle w:val="FirstParagraph"/>
      </w:pPr>
      <w:r>
        <w:rPr>
          <w:bCs/>
          <w:b/>
        </w:rPr>
        <w:t xml:space="preserve">Name:</w:t>
      </w:r>
      <w:r>
        <w:t xml:space="preserve"> </w:t>
      </w:r>
      <w:r>
        <w:t xml:space="preserve">[Patient Full Name]</w:t>
      </w:r>
    </w:p>
    <w:p>
      <w:pPr>
        <w:pStyle w:val="BodyText"/>
      </w:pPr>
      <w:r>
        <w:rPr>
          <w:bCs/>
          <w:b/>
        </w:rPr>
        <w:t xml:space="preserve">Address:</w:t>
      </w:r>
      <w:r>
        <w:t xml:space="preserve"> </w:t>
      </w:r>
      <w:r>
        <w:t xml:space="preserve">[Street, Postal Code, Berlin, Germany]</w:t>
      </w:r>
    </w:p>
    <w:p>
      <w:pPr>
        <w:pStyle w:val="BodyText"/>
      </w:pPr>
      <w:r>
        <w:rPr>
          <w:bCs/>
          <w:b/>
        </w:rPr>
        <w:t xml:space="preserve">Insurance:</w:t>
      </w:r>
      <w:r>
        <w:t xml:space="preserve"> </w:t>
      </w:r>
      <w:r>
        <w:t xml:space="preserve">[Statutory / Private – e.g., AOK, TK, BARMER, or private insurer]</w:t>
      </w:r>
    </w:p>
    <w:p>
      <w:pPr>
        <w:pStyle w:val="BodyText"/>
      </w:pPr>
      <w:r>
        <w:rPr>
          <w:bCs/>
          <w:b/>
        </w:rPr>
        <w:t xml:space="preserve">Insurance ID:</w:t>
      </w:r>
      <w:r>
        <w:t xml:space="preserve"> </w:t>
      </w:r>
      <w:r>
        <w:t xml:space="preserve">[XXXXXXXXXX]</w:t>
      </w:r>
    </w:p>
    <w:p>
      <w:pPr>
        <w:pStyle w:val="BodyText"/>
      </w:pPr>
      <w:r>
        <w:rPr>
          <w:bCs/>
          <w:b/>
        </w:rPr>
        <w:t xml:space="preserve">Phone:</w:t>
      </w:r>
      <w:r>
        <w:t xml:space="preserve"> </w:t>
      </w:r>
      <w:r>
        <w:t xml:space="preserve">[XXXXXXXXXX]</w:t>
      </w:r>
    </w:p>
    <w:bookmarkEnd w:id="22"/>
    <w:p>
      <w:pPr>
        <w:pStyle w:val="BodyText"/>
      </w:pPr>
      <w:r>
        <w:t xml:space="preserve">This</w:t>
      </w:r>
      <w:r>
        <w:t xml:space="preserve"> </w:t>
      </w:r>
      <w:r>
        <w:rPr>
          <w:bCs/>
          <w:b/>
        </w:rPr>
        <w:t xml:space="preserve">Quotation Estimate</w:t>
      </w:r>
      <w:r>
        <w:t xml:space="preserve"> </w:t>
      </w:r>
      <w:r>
        <w:t xml:space="preserve">is issued by the undersigned</w:t>
      </w:r>
      <w:r>
        <w:t xml:space="preserve"> </w:t>
      </w:r>
      <w:r>
        <w:rPr>
          <w:bCs/>
          <w:b/>
        </w:rPr>
        <w:t xml:space="preserve">Doctor General Practitioner</w:t>
      </w:r>
      <w:r>
        <w:t xml:space="preserve"> </w:t>
      </w:r>
      <w:r>
        <w:t xml:space="preserve">operating in</w:t>
      </w:r>
      <w:r>
        <w:t xml:space="preserve"> </w:t>
      </w:r>
      <w:r>
        <w:rPr>
          <w:bCs/>
          <w:b/>
        </w:rPr>
        <w:t xml:space="preserve">Germany Berlin</w:t>
      </w:r>
      <w:r>
        <w:t xml:space="preserve"> </w:t>
      </w:r>
      <w:r>
        <w:t xml:space="preserve">to provide a transparent, itemized overview of anticipated medical services, diagnostic procedures, and associated costs. This document serves as a non-binding estimate in accordance with the German Medical Fee Schedule (Gebührenordnung für Ärzte, GOÄ) and the applicable regulations of the Kassenärztliche Vereinigung Berlin. All prices listed below are net amounts; statutory value-added tax (Mehrwertsteuer) of 19% applies where applicable under German tax law.</w:t>
      </w:r>
    </w:p>
    <w:p>
      <w:pPr>
        <w:pStyle w:val="BodyText"/>
      </w:pPr>
      <w:r>
        <w:t xml:space="preserve">Itemized Services &amp; Estimated Costs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GOÄ Code</w:t>
            </w:r>
          </w:p>
        </w:tc>
        <w:tc>
          <w:tcPr/>
          <w:p>
            <w:pPr>
              <w:pStyle w:val="Compact"/>
              <w:jc w:val="left"/>
            </w:pPr>
            <w:r>
              <w:t xml:space="preserve">Multiplier</w:t>
            </w:r>
          </w:p>
        </w:tc>
        <w:tc>
          <w:tcPr/>
          <w:p>
            <w:pPr>
              <w:pStyle w:val="Compact"/>
              <w:jc w:val="left"/>
            </w:pPr>
            <w:r>
              <w:t xml:space="preserve">Unit Price (€)</w:t>
            </w:r>
          </w:p>
        </w:tc>
        <w:tc>
          <w:tcPr/>
          <w:p>
            <w:pPr>
              <w:pStyle w:val="Compact"/>
              <w:jc w:val="left"/>
            </w:pPr>
            <w:r>
              <w:t xml:space="preserve">Qty</w:t>
            </w:r>
          </w:p>
        </w:tc>
        <w:tc>
          <w:tcPr/>
          <w:p>
            <w:pPr>
              <w:pStyle w:val="Compact"/>
              <w:jc w:val="left"/>
            </w:pPr>
            <w:r>
              <w:t xml:space="preserve">Subtotal (€)</w:t>
            </w:r>
          </w:p>
        </w:tc>
      </w:tr>
      <w:tr>
        <w:tc>
          <w:tcPr/>
          <w:p>
            <w:pPr>
              <w:pStyle w:val="Compact"/>
              <w:jc w:val="left"/>
            </w:pPr>
            <w:r>
              <w:t xml:space="preserve">1</w:t>
            </w:r>
          </w:p>
        </w:tc>
        <w:tc>
          <w:tcPr/>
          <w:p>
            <w:pPr>
              <w:pStyle w:val="Compact"/>
              <w:jc w:val="left"/>
            </w:pPr>
            <w:r>
              <w:t xml:space="preserve">Initial comprehensive consultation with the Doctor General Practitioner (Anamnese, physical examination, medical history review)</w:t>
            </w:r>
          </w:p>
        </w:tc>
        <w:tc>
          <w:tcPr/>
          <w:p>
            <w:pPr>
              <w:pStyle w:val="Compact"/>
              <w:jc w:val="left"/>
            </w:pPr>
            <w:r>
              <w:t xml:space="preserve">GOA 1</w:t>
            </w:r>
          </w:p>
        </w:tc>
        <w:tc>
          <w:tcPr/>
          <w:p>
            <w:pPr>
              <w:pStyle w:val="Compact"/>
              <w:jc w:val="left"/>
            </w:pPr>
            <w:r>
              <w:t xml:space="preserve">2.3</w:t>
            </w:r>
          </w:p>
        </w:tc>
        <w:tc>
          <w:tcPr/>
          <w:p>
            <w:pPr>
              <w:pStyle w:val="Compact"/>
              <w:jc w:val="left"/>
            </w:pPr>
            <w:r>
              <w:t xml:space="preserve">64.50</w:t>
            </w:r>
          </w:p>
        </w:tc>
        <w:tc>
          <w:tcPr/>
          <w:p>
            <w:pPr>
              <w:pStyle w:val="Compact"/>
              <w:jc w:val="left"/>
            </w:pPr>
            <w:r>
              <w:t xml:space="preserve">1</w:t>
            </w:r>
          </w:p>
        </w:tc>
        <w:tc>
          <w:tcPr/>
          <w:p>
            <w:pPr>
              <w:pStyle w:val="Compact"/>
              <w:jc w:val="left"/>
            </w:pPr>
            <w:r>
              <w:t xml:space="preserve">64.50</w:t>
            </w:r>
          </w:p>
        </w:tc>
      </w:tr>
      <w:tr>
        <w:tc>
          <w:tcPr/>
          <w:p>
            <w:pPr>
              <w:pStyle w:val="Compact"/>
              <w:jc w:val="left"/>
            </w:pPr>
            <w:r>
              <w:t xml:space="preserve">2</w:t>
            </w:r>
          </w:p>
        </w:tc>
        <w:tc>
          <w:tcPr/>
          <w:p>
            <w:pPr>
              <w:pStyle w:val="Compact"/>
              <w:jc w:val="left"/>
            </w:pPr>
            <w:r>
              <w:t xml:space="preserve">Follow-up consultation (Wiederholungsuntersuchung) – subsequent visits within 30 days</w:t>
            </w:r>
          </w:p>
        </w:tc>
        <w:tc>
          <w:tcPr/>
          <w:p>
            <w:pPr>
              <w:pStyle w:val="Compact"/>
              <w:jc w:val="left"/>
            </w:pPr>
            <w:r>
              <w:t xml:space="preserve">GOA 2</w:t>
            </w:r>
          </w:p>
        </w:tc>
        <w:tc>
          <w:tcPr/>
          <w:p>
            <w:pPr>
              <w:pStyle w:val="Compact"/>
              <w:jc w:val="left"/>
            </w:pPr>
            <w:r>
              <w:t xml:space="preserve">1.7</w:t>
            </w:r>
          </w:p>
        </w:tc>
        <w:tc>
          <w:tcPr/>
          <w:p>
            <w:pPr>
              <w:pStyle w:val="Compact"/>
              <w:jc w:val="left"/>
            </w:pPr>
            <w:r>
              <w:t xml:space="preserve">47.60</w:t>
            </w:r>
          </w:p>
        </w:tc>
        <w:tc>
          <w:tcPr/>
          <w:p>
            <w:pPr>
              <w:pStyle w:val="Compact"/>
              <w:jc w:val="left"/>
            </w:pPr>
            <w:r>
              <w:t xml:space="preserve">2</w:t>
            </w:r>
          </w:p>
        </w:tc>
        <w:tc>
          <w:tcPr/>
          <w:p>
            <w:pPr>
              <w:pStyle w:val="Compact"/>
              <w:jc w:val="left"/>
            </w:pPr>
            <w:r>
              <w:t xml:space="preserve">95.20</w:t>
            </w:r>
          </w:p>
        </w:tc>
      </w:tr>
      <w:tr>
        <w:tc>
          <w:tcPr/>
          <w:p>
            <w:pPr>
              <w:pStyle w:val="Compact"/>
              <w:jc w:val="left"/>
            </w:pPr>
            <w:r>
              <w:t xml:space="preserve">3</w:t>
            </w:r>
          </w:p>
        </w:tc>
        <w:tc>
          <w:tcPr/>
          <w:p>
            <w:pPr>
              <w:pStyle w:val="Compact"/>
              <w:jc w:val="left"/>
            </w:pPr>
            <w:r>
              <w:t xml:space="preserve">Blood analysis – complete blood count (Blutbild) including differential count, CRP, and metabolic panel</w:t>
            </w:r>
          </w:p>
        </w:tc>
        <w:tc>
          <w:tcPr/>
          <w:p>
            <w:pPr>
              <w:pStyle w:val="Compact"/>
              <w:jc w:val="left"/>
            </w:pPr>
            <w:r>
              <w:t xml:space="preserve">GOA 35010</w:t>
            </w:r>
          </w:p>
        </w:tc>
        <w:tc>
          <w:tcPr/>
          <w:p>
            <w:pPr>
              <w:pStyle w:val="Compact"/>
              <w:jc w:val="left"/>
            </w:pPr>
            <w:r>
              <w:t xml:space="preserve">1.0</w:t>
            </w:r>
          </w:p>
        </w:tc>
        <w:tc>
          <w:tcPr/>
          <w:p>
            <w:pPr>
              <w:pStyle w:val="Compact"/>
              <w:jc w:val="left"/>
            </w:pPr>
            <w:r>
              <w:t xml:space="preserve">28.40</w:t>
            </w:r>
          </w:p>
        </w:tc>
        <w:tc>
          <w:tcPr/>
          <w:p>
            <w:pPr>
              <w:pStyle w:val="Compact"/>
              <w:jc w:val="left"/>
            </w:pPr>
            <w:r>
              <w:t xml:space="preserve">1</w:t>
            </w:r>
          </w:p>
        </w:tc>
        <w:tc>
          <w:tcPr/>
          <w:p>
            <w:pPr>
              <w:pStyle w:val="Compact"/>
              <w:jc w:val="left"/>
            </w:pPr>
            <w:r>
              <w:t xml:space="preserve">28.40</w:t>
            </w:r>
          </w:p>
        </w:tc>
      </w:tr>
      <w:tr>
        <w:tc>
          <w:tcPr/>
          <w:p>
            <w:pPr>
              <w:pStyle w:val="Compact"/>
              <w:jc w:val="left"/>
            </w:pPr>
            <w:r>
              <w:t xml:space="preserve">4</w:t>
            </w:r>
          </w:p>
        </w:tc>
        <w:tc>
          <w:tcPr/>
          <w:p>
            <w:pPr>
              <w:pStyle w:val="Compact"/>
              <w:jc w:val="left"/>
            </w:pPr>
            <w:r>
              <w:t xml:space="preserve">Urine analysis (Urinstatus) with microscopy</w:t>
            </w:r>
          </w:p>
        </w:tc>
        <w:tc>
          <w:tcPr/>
          <w:p>
            <w:pPr>
              <w:pStyle w:val="Compact"/>
              <w:jc w:val="left"/>
            </w:pPr>
            <w:r>
              <w:t xml:space="preserve">GOA 35020</w:t>
            </w:r>
          </w:p>
        </w:tc>
        <w:tc>
          <w:tcPr/>
          <w:p>
            <w:pPr>
              <w:pStyle w:val="Compact"/>
              <w:jc w:val="left"/>
            </w:pPr>
            <w:r>
              <w:t xml:space="preserve">1.0</w:t>
            </w:r>
          </w:p>
        </w:tc>
        <w:tc>
          <w:tcPr/>
          <w:p>
            <w:pPr>
              <w:pStyle w:val="Compact"/>
              <w:jc w:val="left"/>
            </w:pPr>
            <w:r>
              <w:t xml:space="preserve">12.80</w:t>
            </w:r>
          </w:p>
        </w:tc>
        <w:tc>
          <w:tcPr/>
          <w:p>
            <w:pPr>
              <w:pStyle w:val="Compact"/>
              <w:jc w:val="left"/>
            </w:pPr>
            <w:r>
              <w:t xml:space="preserve">1</w:t>
            </w:r>
          </w:p>
        </w:tc>
        <w:tc>
          <w:tcPr/>
          <w:p>
            <w:pPr>
              <w:pStyle w:val="Compact"/>
              <w:jc w:val="left"/>
            </w:pPr>
            <w:r>
              <w:t xml:space="preserve">12.80</w:t>
            </w:r>
          </w:p>
        </w:tc>
      </w:tr>
      <w:tr>
        <w:tc>
          <w:tcPr/>
          <w:p>
            <w:pPr>
              <w:pStyle w:val="Compact"/>
              <w:jc w:val="left"/>
            </w:pPr>
            <w:r>
              <w:t xml:space="preserve">5</w:t>
            </w:r>
          </w:p>
        </w:tc>
        <w:tc>
          <w:tcPr/>
          <w:p>
            <w:pPr>
              <w:pStyle w:val="Compact"/>
              <w:jc w:val="left"/>
            </w:pPr>
            <w:r>
              <w:t xml:space="preserve">Electrocardiogram (EKG) – 12-lead resting ECG with interpretation by the Doctor General Practitioner</w:t>
            </w:r>
          </w:p>
        </w:tc>
        <w:tc>
          <w:tcPr/>
          <w:p>
            <w:pPr>
              <w:pStyle w:val="Compact"/>
              <w:jc w:val="left"/>
            </w:pPr>
            <w:r>
              <w:t xml:space="preserve">GOA 27010</w:t>
            </w:r>
          </w:p>
        </w:tc>
        <w:tc>
          <w:tcPr/>
          <w:p>
            <w:pPr>
              <w:pStyle w:val="Compact"/>
              <w:jc w:val="left"/>
            </w:pPr>
            <w:r>
              <w:t xml:space="preserve">1.0</w:t>
            </w:r>
          </w:p>
        </w:tc>
        <w:tc>
          <w:tcPr/>
          <w:p>
            <w:pPr>
              <w:pStyle w:val="Compact"/>
              <w:jc w:val="left"/>
            </w:pPr>
            <w:r>
              <w:t xml:space="preserve">34.20</w:t>
            </w:r>
          </w:p>
        </w:tc>
        <w:tc>
          <w:tcPr/>
          <w:p>
            <w:pPr>
              <w:pStyle w:val="Compact"/>
              <w:jc w:val="left"/>
            </w:pPr>
            <w:r>
              <w:t xml:space="preserve">1</w:t>
            </w:r>
          </w:p>
        </w:tc>
        <w:tc>
          <w:tcPr/>
          <w:p>
            <w:pPr>
              <w:pStyle w:val="Compact"/>
              <w:jc w:val="left"/>
            </w:pPr>
            <w:r>
              <w:t xml:space="preserve">34.20</w:t>
            </w:r>
          </w:p>
        </w:tc>
      </w:tr>
      <w:tr>
        <w:tc>
          <w:tcPr/>
          <w:p>
            <w:pPr>
              <w:pStyle w:val="Compact"/>
              <w:jc w:val="left"/>
            </w:pPr>
            <w:r>
              <w:t xml:space="preserve">6</w:t>
            </w:r>
          </w:p>
        </w:tc>
        <w:tc>
          <w:tcPr/>
          <w:p>
            <w:pPr>
              <w:pStyle w:val="Compact"/>
              <w:jc w:val="left"/>
            </w:pPr>
            <w:r>
              <w:t xml:space="preserve">Abdominal ultrasound (Sonographie des Abdomens) – liver, gallbladder, kidneys, pancreas</w:t>
            </w:r>
          </w:p>
        </w:tc>
        <w:tc>
          <w:tcPr/>
          <w:p>
            <w:pPr>
              <w:pStyle w:val="Compact"/>
              <w:jc w:val="left"/>
            </w:pPr>
            <w:r>
              <w:t xml:space="preserve">GOA 27010</w:t>
            </w:r>
          </w:p>
        </w:tc>
        <w:tc>
          <w:tcPr/>
          <w:p>
            <w:pPr>
              <w:pStyle w:val="Compact"/>
              <w:jc w:val="left"/>
            </w:pPr>
            <w:r>
              <w:t xml:space="preserve">1.5</w:t>
            </w:r>
          </w:p>
        </w:tc>
        <w:tc>
          <w:tcPr/>
          <w:p>
            <w:pPr>
              <w:pStyle w:val="Compact"/>
              <w:jc w:val="left"/>
            </w:pPr>
            <w:r>
              <w:t xml:space="preserve">85.50</w:t>
            </w:r>
          </w:p>
        </w:tc>
        <w:tc>
          <w:tcPr/>
          <w:p>
            <w:pPr>
              <w:pStyle w:val="Compact"/>
              <w:jc w:val="left"/>
            </w:pPr>
            <w:r>
              <w:t xml:space="preserve">1</w:t>
            </w:r>
          </w:p>
        </w:tc>
        <w:tc>
          <w:tcPr/>
          <w:p>
            <w:pPr>
              <w:pStyle w:val="Compact"/>
              <w:jc w:val="left"/>
            </w:pPr>
            <w:r>
              <w:t xml:space="preserve">85.50</w:t>
            </w:r>
          </w:p>
        </w:tc>
      </w:tr>
      <w:tr>
        <w:tc>
          <w:tcPr/>
          <w:p>
            <w:pPr>
              <w:pStyle w:val="Compact"/>
              <w:jc w:val="left"/>
            </w:pPr>
            <w:r>
              <w:t xml:space="preserve">7</w:t>
            </w:r>
          </w:p>
        </w:tc>
        <w:tc>
          <w:tcPr/>
          <w:p>
            <w:pPr>
              <w:pStyle w:val="Compact"/>
              <w:jc w:val="left"/>
            </w:pPr>
            <w:r>
              <w:t xml:space="preserve">Pulmonary function test (Spirometrie) – FEV1, FVC, peak flow measurement</w:t>
            </w:r>
          </w:p>
        </w:tc>
        <w:tc>
          <w:tcPr/>
          <w:p>
            <w:pPr>
              <w:pStyle w:val="Compact"/>
              <w:jc w:val="left"/>
            </w:pPr>
            <w:r>
              <w:t xml:space="preserve">GOA 27010</w:t>
            </w:r>
          </w:p>
        </w:tc>
        <w:tc>
          <w:tcPr/>
          <w:p>
            <w:pPr>
              <w:pStyle w:val="Compact"/>
              <w:jc w:val="left"/>
            </w:pPr>
            <w:r>
              <w:t xml:space="preserve">1.0</w:t>
            </w:r>
          </w:p>
        </w:tc>
        <w:tc>
          <w:tcPr/>
          <w:p>
            <w:pPr>
              <w:pStyle w:val="Compact"/>
              <w:jc w:val="left"/>
            </w:pPr>
            <w:r>
              <w:t xml:space="preserve">34.20</w:t>
            </w:r>
          </w:p>
        </w:tc>
        <w:tc>
          <w:tcPr/>
          <w:p>
            <w:pPr>
              <w:pStyle w:val="Compact"/>
              <w:jc w:val="left"/>
            </w:pPr>
            <w:r>
              <w:t xml:space="preserve">1</w:t>
            </w:r>
          </w:p>
        </w:tc>
        <w:tc>
          <w:tcPr/>
          <w:p>
            <w:pPr>
              <w:pStyle w:val="Compact"/>
              <w:jc w:val="left"/>
            </w:pPr>
            <w:r>
              <w:t xml:space="preserve">34.20</w:t>
            </w:r>
          </w:p>
        </w:tc>
      </w:tr>
      <w:tr>
        <w:tc>
          <w:tcPr/>
          <w:p>
            <w:pPr>
              <w:pStyle w:val="Compact"/>
              <w:jc w:val="left"/>
            </w:pPr>
            <w:r>
              <w:t xml:space="preserve">8</w:t>
            </w:r>
          </w:p>
        </w:tc>
        <w:tc>
          <w:tcPr/>
          <w:p>
            <w:pPr>
              <w:pStyle w:val="Compact"/>
              <w:jc w:val="left"/>
            </w:pPr>
            <w:r>
              <w:t xml:space="preserve">Prescription of medication (Rezept) – including initial pharmacological counseling</w:t>
            </w:r>
          </w:p>
        </w:tc>
        <w:tc>
          <w:tcPr/>
          <w:p>
            <w:pPr>
              <w:pStyle w:val="Compact"/>
              <w:jc w:val="left"/>
            </w:pPr>
            <w:r>
              <w:t xml:space="preserve">GOA 4</w:t>
            </w:r>
          </w:p>
        </w:tc>
        <w:tc>
          <w:tcPr/>
          <w:p>
            <w:pPr>
              <w:pStyle w:val="Compact"/>
              <w:jc w:val="left"/>
            </w:pPr>
            <w:r>
              <w:t xml:space="preserve">1.0</w:t>
            </w:r>
          </w:p>
        </w:tc>
        <w:tc>
          <w:tcPr/>
          <w:p>
            <w:pPr>
              <w:pStyle w:val="Compact"/>
              <w:jc w:val="left"/>
            </w:pPr>
            <w:r>
              <w:t xml:space="preserve">8.50</w:t>
            </w:r>
          </w:p>
        </w:tc>
        <w:tc>
          <w:tcPr/>
          <w:p>
            <w:pPr>
              <w:pStyle w:val="Compact"/>
              <w:jc w:val="left"/>
            </w:pPr>
            <w:r>
              <w:t xml:space="preserve">1</w:t>
            </w:r>
          </w:p>
        </w:tc>
        <w:tc>
          <w:tcPr/>
          <w:p>
            <w:pPr>
              <w:pStyle w:val="Compact"/>
              <w:jc w:val="left"/>
            </w:pPr>
            <w:r>
              <w:t xml:space="preserve">8.50</w:t>
            </w:r>
          </w:p>
        </w:tc>
      </w:tr>
      <w:tr>
        <w:tc>
          <w:tcPr/>
          <w:p>
            <w:pPr>
              <w:pStyle w:val="Compact"/>
              <w:jc w:val="left"/>
            </w:pPr>
            <w:r>
              <w:t xml:space="preserve">9</w:t>
            </w:r>
          </w:p>
        </w:tc>
        <w:tc>
          <w:tcPr/>
          <w:p>
            <w:pPr>
              <w:pStyle w:val="Compact"/>
              <w:jc w:val="left"/>
            </w:pPr>
            <w:r>
              <w:t xml:space="preserve">Referral letter to a specialist (Überweisung) – e.g., gastroenterologist or cardiologist in Berlin</w:t>
            </w:r>
          </w:p>
        </w:tc>
        <w:tc>
          <w:tcPr/>
          <w:p>
            <w:pPr>
              <w:pStyle w:val="Compact"/>
              <w:jc w:val="left"/>
            </w:pPr>
            <w:r>
              <w:t xml:space="preserve">GOA 5</w:t>
            </w:r>
          </w:p>
        </w:tc>
        <w:tc>
          <w:tcPr/>
          <w:p>
            <w:pPr>
              <w:pStyle w:val="Compact"/>
              <w:jc w:val="left"/>
            </w:pPr>
            <w:r>
              <w:t xml:space="preserve">1.0</w:t>
            </w:r>
          </w:p>
        </w:tc>
        <w:tc>
          <w:tcPr/>
          <w:p>
            <w:pPr>
              <w:pStyle w:val="Compact"/>
              <w:jc w:val="left"/>
            </w:pPr>
            <w:r>
              <w:t xml:space="preserve">12.30</w:t>
            </w:r>
          </w:p>
        </w:tc>
        <w:tc>
          <w:tcPr/>
          <w:p>
            <w:pPr>
              <w:pStyle w:val="Compact"/>
              <w:jc w:val="left"/>
            </w:pPr>
            <w:r>
              <w:t xml:space="preserve">1</w:t>
            </w:r>
          </w:p>
        </w:tc>
        <w:tc>
          <w:tcPr/>
          <w:p>
            <w:pPr>
              <w:pStyle w:val="Compact"/>
              <w:jc w:val="left"/>
            </w:pPr>
            <w:r>
              <w:t xml:space="preserve">12.30</w:t>
            </w:r>
          </w:p>
        </w:tc>
      </w:tr>
      <w:tr>
        <w:tc>
          <w:tcPr/>
          <w:p>
            <w:pPr>
              <w:pStyle w:val="Compact"/>
              <w:jc w:val="left"/>
            </w:pPr>
            <w:r>
              <w:t xml:space="preserve">10</w:t>
            </w:r>
          </w:p>
        </w:tc>
        <w:tc>
          <w:tcPr/>
          <w:p>
            <w:pPr>
              <w:pStyle w:val="Compact"/>
              <w:jc w:val="left"/>
            </w:pPr>
            <w:r>
              <w:t xml:space="preserve">Preventive health check-up (Gesundheitscheck) – age-appropriate screening per German statutory guidelines</w:t>
            </w:r>
          </w:p>
        </w:tc>
        <w:tc>
          <w:tcPr/>
          <w:p>
            <w:pPr>
              <w:pStyle w:val="Compact"/>
              <w:jc w:val="left"/>
            </w:pPr>
            <w:r>
              <w:t xml:space="preserve">GOA 1</w:t>
            </w:r>
          </w:p>
        </w:tc>
        <w:tc>
          <w:tcPr/>
          <w:p>
            <w:pPr>
              <w:pStyle w:val="Compact"/>
              <w:jc w:val="left"/>
            </w:pPr>
            <w:r>
              <w:t xml:space="preserve">2.3</w:t>
            </w:r>
          </w:p>
        </w:tc>
        <w:tc>
          <w:tcPr/>
          <w:p>
            <w:pPr>
              <w:pStyle w:val="Compact"/>
              <w:jc w:val="left"/>
            </w:pPr>
            <w:r>
              <w:t xml:space="preserve">64.50</w:t>
            </w:r>
          </w:p>
        </w:tc>
        <w:tc>
          <w:tcPr/>
          <w:p>
            <w:pPr>
              <w:pStyle w:val="Compact"/>
              <w:jc w:val="left"/>
            </w:pPr>
            <w:r>
              <w:t xml:space="preserve">1</w:t>
            </w:r>
          </w:p>
        </w:tc>
        <w:tc>
          <w:tcPr/>
          <w:p>
            <w:pPr>
              <w:pStyle w:val="Compact"/>
              <w:jc w:val="left"/>
            </w:pPr>
            <w:r>
              <w:t xml:space="preserve">64.50</w:t>
            </w:r>
          </w:p>
        </w:tc>
      </w:tr>
      <w:tr>
        <w:tc>
          <w:tcPr/>
          <w:p>
            <w:pPr>
              <w:pStyle w:val="Compact"/>
              <w:jc w:val="left"/>
            </w:pPr>
            <w:r>
              <w:t xml:space="preserve">11</w:t>
            </w:r>
          </w:p>
        </w:tc>
        <w:tc>
          <w:tcPr/>
          <w:p>
            <w:pPr>
              <w:pStyle w:val="Compact"/>
              <w:jc w:val="left"/>
            </w:pPr>
            <w:r>
              <w:t xml:space="preserve">Home visit (Hausbesuch) – for patients unable to travel to the practice in Berlin-Mitte</w:t>
            </w:r>
          </w:p>
        </w:tc>
        <w:tc>
          <w:tcPr/>
          <w:p>
            <w:pPr>
              <w:pStyle w:val="Compact"/>
              <w:jc w:val="left"/>
            </w:pPr>
            <w:r>
              <w:t xml:space="preserve">GOA 6</w:t>
            </w:r>
          </w:p>
        </w:tc>
        <w:tc>
          <w:tcPr/>
          <w:p>
            <w:pPr>
              <w:pStyle w:val="Compact"/>
              <w:jc w:val="left"/>
            </w:pPr>
            <w:r>
              <w:t xml:space="preserve">1.0</w:t>
            </w:r>
          </w:p>
        </w:tc>
        <w:tc>
          <w:tcPr/>
          <w:p>
            <w:pPr>
              <w:pStyle w:val="Compact"/>
              <w:jc w:val="left"/>
            </w:pPr>
            <w:r>
              <w:t xml:space="preserve">22.70</w:t>
            </w:r>
          </w:p>
        </w:tc>
        <w:tc>
          <w:tcPr/>
          <w:p>
            <w:pPr>
              <w:pStyle w:val="Compact"/>
              <w:jc w:val="left"/>
            </w:pPr>
            <w:r>
              <w:t xml:space="preserve">1</w:t>
            </w:r>
          </w:p>
        </w:tc>
        <w:tc>
          <w:tcPr/>
          <w:p>
            <w:pPr>
              <w:pStyle w:val="Compact"/>
              <w:jc w:val="left"/>
            </w:pPr>
            <w:r>
              <w:t xml:space="preserve">22.70</w:t>
            </w:r>
          </w:p>
        </w:tc>
      </w:tr>
      <w:tr>
        <w:tc>
          <w:tcPr/>
          <w:p>
            <w:pPr>
              <w:pStyle w:val="Compact"/>
              <w:jc w:val="left"/>
            </w:pPr>
            <w:r>
              <w:t xml:space="preserve">12</w:t>
            </w:r>
          </w:p>
        </w:tc>
        <w:tc>
          <w:tcPr/>
          <w:p>
            <w:pPr>
              <w:pStyle w:val="Compact"/>
              <w:jc w:val="left"/>
            </w:pPr>
            <w:r>
              <w:t xml:space="preserve">Medical report / certificate (Attest) – e.g., for employer, insurance, or legal purposes</w:t>
            </w:r>
          </w:p>
        </w:tc>
        <w:tc>
          <w:tcPr/>
          <w:p>
            <w:pPr>
              <w:pStyle w:val="Compact"/>
              <w:jc w:val="left"/>
            </w:pPr>
            <w:r>
              <w:t xml:space="preserve">GOA 7</w:t>
            </w:r>
          </w:p>
        </w:tc>
        <w:tc>
          <w:tcPr/>
          <w:p>
            <w:pPr>
              <w:pStyle w:val="Compact"/>
              <w:jc w:val="left"/>
            </w:pPr>
            <w:r>
              <w:t xml:space="preserve">1.0</w:t>
            </w:r>
          </w:p>
        </w:tc>
        <w:tc>
          <w:tcPr/>
          <w:p>
            <w:pPr>
              <w:pStyle w:val="Compact"/>
              <w:jc w:val="left"/>
            </w:pPr>
            <w:r>
              <w:t xml:space="preserve">15.60</w:t>
            </w:r>
          </w:p>
        </w:tc>
        <w:tc>
          <w:tcPr/>
          <w:p>
            <w:pPr>
              <w:pStyle w:val="Compact"/>
              <w:jc w:val="left"/>
            </w:pPr>
            <w:r>
              <w:t xml:space="preserve">1</w:t>
            </w:r>
          </w:p>
        </w:tc>
        <w:tc>
          <w:tcPr/>
          <w:p>
            <w:pPr>
              <w:pStyle w:val="Compact"/>
              <w:jc w:val="left"/>
            </w:pPr>
            <w:r>
              <w:t xml:space="preserve">15.60</w:t>
            </w:r>
          </w:p>
        </w:tc>
      </w:tr>
      <w:tr>
        <w:tc>
          <w:tcPr>
            <w:gridSpan w:val="6"/>
          </w:tcPr>
          <w:p>
            <w:pPr>
              <w:pStyle w:val="Compact"/>
              <w:jc w:val="right"/>
            </w:pPr>
            <w:r>
              <w:t xml:space="preserve">Total Net Amount (Gesamtbetrag netto):</w:t>
            </w:r>
          </w:p>
        </w:tc>
        <w:tc>
          <w:tcPr/>
          <w:p>
            <w:pPr>
              <w:pStyle w:val="Compact"/>
              <w:jc w:val="left"/>
            </w:pPr>
            <w:r>
              <w:t xml:space="preserve">€ 578.40</w:t>
            </w:r>
          </w:p>
        </w:tc>
      </w:tr>
      <w:tr>
        <w:tc>
          <w:tcPr>
            <w:gridSpan w:val="6"/>
          </w:tcPr>
          <w:p>
            <w:pPr>
              <w:pStyle w:val="Compact"/>
              <w:jc w:val="right"/>
            </w:pPr>
            <w:r>
              <w:t xml:space="preserve">VAT 19% (Mehrwertsteuer):</w:t>
            </w:r>
          </w:p>
        </w:tc>
        <w:tc>
          <w:tcPr/>
          <w:p>
            <w:pPr>
              <w:pStyle w:val="Compact"/>
              <w:jc w:val="left"/>
            </w:pPr>
            <w:r>
              <w:t xml:space="preserve">€ 109.90</w:t>
            </w:r>
          </w:p>
        </w:tc>
      </w:tr>
      <w:tr>
        <w:tc>
          <w:tcPr>
            <w:gridSpan w:val="6"/>
          </w:tcPr>
          <w:p>
            <w:pPr>
              <w:pStyle w:val="Compact"/>
              <w:jc w:val="right"/>
            </w:pPr>
            <w:r>
              <w:t xml:space="preserve">Total Gross Amount (Gesamtbetrag brutto):</w:t>
            </w:r>
          </w:p>
        </w:tc>
        <w:tc>
          <w:tcPr/>
          <w:p>
            <w:pPr>
              <w:pStyle w:val="Compact"/>
              <w:jc w:val="left"/>
            </w:pPr>
            <w:r>
              <w:t xml:space="preserve">€ 688.30</w:t>
            </w:r>
          </w:p>
        </w:tc>
      </w:tr>
    </w:tbl>
    <w:p>
      <w:pPr>
        <w:pStyle w:val="BodyText"/>
      </w:pPr>
      <w:r>
        <w:t xml:space="preserve">Notes &amp; Clarifications</w:t>
      </w:r>
    </w:p>
    <w:p>
      <w:pPr>
        <w:pStyle w:val="BodyText"/>
      </w:pPr>
      <w:r>
        <w:t xml:space="preserve">This</w:t>
      </w:r>
      <w:r>
        <w:t xml:space="preserve"> </w:t>
      </w:r>
      <w:r>
        <w:rPr>
          <w:bCs/>
          <w:b/>
        </w:rPr>
        <w:t xml:space="preserve">Quotation Estimate</w:t>
      </w:r>
      <w:r>
        <w:t xml:space="preserve"> </w:t>
      </w:r>
      <w:r>
        <w:t xml:space="preserve">is prepared by a licensed</w:t>
      </w:r>
      <w:r>
        <w:t xml:space="preserve"> </w:t>
      </w:r>
      <w:r>
        <w:rPr>
          <w:bCs/>
          <w:b/>
        </w:rPr>
        <w:t xml:space="preserve">Doctor General Practitioner</w:t>
      </w:r>
      <w:r>
        <w:t xml:space="preserve"> </w:t>
      </w:r>
      <w:r>
        <w:t xml:space="preserve">registered with the Ärztekammer Berlin and the Kassenärztliche Vereinigung Berlin. The estimated costs reflect the standard fee schedule applicable in</w:t>
      </w:r>
      <w:r>
        <w:t xml:space="preserve"> </w:t>
      </w:r>
      <w:r>
        <w:rPr>
          <w:bCs/>
          <w:b/>
        </w:rPr>
        <w:t xml:space="preserve">Germany Berlin</w:t>
      </w:r>
      <w:r>
        <w:t xml:space="preserve"> </w:t>
      </w:r>
      <w:r>
        <w:t xml:space="preserve">as of the date of issue. For patients covered by statutory health insurance (gesetzliche Krankenversicherung), the KVB will reimburse services according to the Einheitlicher Bewertungsmaßstab (EBM); the amounts listed here represent the maximum out-of-pocket cost for privately insured patients or self-pay individuals. Any additional diagnostic procedures, laboratory tests, or specialist referrals not listed above will be communicated to the patient prior to execution and will be subject to a supplementary quotation.</w:t>
      </w:r>
    </w:p>
    <w:p>
      <w:pPr>
        <w:pStyle w:val="BodyText"/>
      </w:pPr>
      <w:r>
        <w:t xml:space="preserve">Terms &amp; Conditions</w:t>
      </w:r>
    </w:p>
    <w:p>
      <w:pPr>
        <w:numPr>
          <w:ilvl w:val="0"/>
          <w:numId w:val="1001"/>
        </w:numPr>
        <w:pStyle w:val="Compact"/>
      </w:pPr>
      <w:r>
        <w:rPr>
          <w:bCs/>
          <w:b/>
        </w:rPr>
        <w:t xml:space="preserve">Validity:</w:t>
      </w:r>
      <w:r>
        <w:t xml:space="preserve"> </w:t>
      </w:r>
      <w:r>
        <w:t xml:space="preserve">This Quotation Estimate is valid for 30 calendar days from the date of issue. After expiry, prices may be adjusted to reflect current GOÄ rates or changes in the German healthcare regulatory framework.</w:t>
      </w:r>
    </w:p>
    <w:p>
      <w:pPr>
        <w:numPr>
          <w:ilvl w:val="0"/>
          <w:numId w:val="1001"/>
        </w:numPr>
        <w:pStyle w:val="Compact"/>
      </w:pPr>
      <w:r>
        <w:rPr>
          <w:bCs/>
          <w:b/>
        </w:rPr>
        <w:t xml:space="preserve">Payment Terms:</w:t>
      </w:r>
      <w:r>
        <w:t xml:space="preserve"> </w:t>
      </w:r>
      <w:r>
        <w:t xml:space="preserve">Payment is due within 14 days of the final invoice (Rechnung) issued after service delivery. Accepted methods include bank transfer (SEPA-Überweisung), direct debit (Lastschrift), and cash at the practice reception in Berlin.</w:t>
      </w:r>
    </w:p>
    <w:p>
      <w:pPr>
        <w:numPr>
          <w:ilvl w:val="0"/>
          <w:numId w:val="1001"/>
        </w:numPr>
        <w:pStyle w:val="Compact"/>
      </w:pPr>
      <w:r>
        <w:rPr>
          <w:bCs/>
          <w:b/>
        </w:rPr>
        <w:t xml:space="preserve">Insurance Reimbursement:</w:t>
      </w:r>
      <w:r>
        <w:t xml:space="preserve"> </w:t>
      </w:r>
      <w:r>
        <w:t xml:space="preserve">For statutory insurance holders, the practice bills the Kassenärztliche Vereinigung Berlin directly. The patient is responsible only for any applicable co-payment (Zuzahlung) of €10 per prescription and €10 per inpatient stay per calendar year, as mandated by German social law (SGB V).</w:t>
      </w:r>
    </w:p>
    <w:p>
      <w:pPr>
        <w:numPr>
          <w:ilvl w:val="0"/>
          <w:numId w:val="1001"/>
        </w:numPr>
        <w:pStyle w:val="Compact"/>
      </w:pPr>
      <w:r>
        <w:rPr>
          <w:bCs/>
          <w:b/>
        </w:rPr>
        <w:t xml:space="preserve">Cancellation:</w:t>
      </w:r>
      <w:r>
        <w:t xml:space="preserve"> </w:t>
      </w:r>
      <w:r>
        <w:t xml:space="preserve">Appointments may be cancelled or rescheduled up to 24 hours in advance without charge. Late cancellations or no-shows may incur a fee of up to €50, as permitted under German contract law.</w:t>
      </w:r>
    </w:p>
    <w:p>
      <w:pPr>
        <w:numPr>
          <w:ilvl w:val="0"/>
          <w:numId w:val="1001"/>
        </w:numPr>
        <w:pStyle w:val="Compact"/>
      </w:pPr>
      <w:r>
        <w:rPr>
          <w:bCs/>
          <w:b/>
        </w:rPr>
        <w:t xml:space="preserve">Data Protection:</w:t>
      </w:r>
      <w:r>
        <w:t xml:space="preserve"> </w:t>
      </w:r>
      <w:r>
        <w:t xml:space="preserve">All patient data is processed in strict compliance with the EU General Data Protection Regulation (GDPR/DSGVO) and the German Federal Data Protection Act (BDSG). Medical records are stored in accordance with the retention obligations of the Berufsordnung der Ärztekammer Berlin.</w:t>
      </w:r>
    </w:p>
    <w:p>
      <w:pPr>
        <w:numPr>
          <w:ilvl w:val="0"/>
          <w:numId w:val="1001"/>
        </w:numPr>
        <w:pStyle w:val="Compact"/>
      </w:pPr>
      <w:r>
        <w:rPr>
          <w:bCs/>
          <w:b/>
        </w:rPr>
        <w:t xml:space="preserve">Scope of Practice:</w:t>
      </w:r>
      <w:r>
        <w:t xml:space="preserve"> </w:t>
      </w:r>
      <w:r>
        <w:t xml:space="preserve">The Doctor General Practitioner provides primary care, preventive medicine, chronic disease management, and initial diagnostics. Complex surgical or highly specialized interventions are referred to appropriate specialists within the Berlin healthcare network.</w:t>
      </w:r>
    </w:p>
    <w:p>
      <w:pPr>
        <w:numPr>
          <w:ilvl w:val="0"/>
          <w:numId w:val="1001"/>
        </w:numPr>
        <w:pStyle w:val="Compact"/>
      </w:pPr>
      <w:r>
        <w:rPr>
          <w:bCs/>
          <w:b/>
        </w:rPr>
        <w:t xml:space="preserve">Dispute Resolution:</w:t>
      </w:r>
      <w:r>
        <w:t xml:space="preserve"> </w:t>
      </w:r>
      <w:r>
        <w:t xml:space="preserve">Any disputes arising from this Quotation Estimate or subsequent services shall be resolved in accordance with German civil law. The competent court is the local court (Amtsgericht) of Berlin-Mitte. The patient retains the right to contact the Schlichtungsstelle der Ärztekammer Berlin for medical disputes.</w:t>
      </w:r>
    </w:p>
    <w:p>
      <w:pPr>
        <w:pStyle w:val="FirstParagraph"/>
      </w:pPr>
      <w:r>
        <w:t xml:space="preserve">Acceptance &amp; Signature</w:t>
      </w:r>
    </w:p>
    <w:p>
      <w:pPr>
        <w:pStyle w:val="BodyText"/>
      </w:pPr>
      <w:r>
        <w:t xml:space="preserve">By signing below, the patient acknowledges receipt of this Quotation Estimate and agrees to the terms outlined above. This signature does not constitute a binding contract for medical services but serves as confirmation that the estimated costs have been reviewed and understood. The Doctor General Practitioner reserves the right to adjust the final invoice based on the actual scope of services rendered.</w:t>
      </w:r>
    </w:p>
    <w:p>
      <w:pPr>
        <w:pStyle w:val="BodyText"/>
      </w:pPr>
      <w:r>
        <w:rPr>
          <w:bCs/>
          <w:b/>
        </w:rPr>
        <w:t xml:space="preserve">Dr. med. Heinrich Vogel</w:t>
      </w:r>
      <w:r>
        <w:br/>
      </w:r>
      <w:r>
        <w:t xml:space="preserve">Doctor General Practitioner</w:t>
      </w:r>
      <w:r>
        <w:br/>
      </w:r>
      <w:r>
        <w:t xml:space="preserve">Praxis Dr. Vogel, Berlin, Germany</w:t>
      </w:r>
      <w:r>
        <w:br/>
      </w:r>
      <w:r>
        <w:t xml:space="preserve">Date: _______________</w:t>
      </w:r>
    </w:p>
    <w:p>
      <w:pPr>
        <w:pStyle w:val="BodyText"/>
      </w:pPr>
      <w:r>
        <w:rPr>
          <w:bCs/>
          <w:b/>
        </w:rPr>
        <w:t xml:space="preserve">Patient / Authorized Representative</w:t>
      </w:r>
      <w:r>
        <w:br/>
      </w:r>
      <w:r>
        <w:t xml:space="preserve">Name: _________________________</w:t>
      </w:r>
      <w:r>
        <w:br/>
      </w:r>
      <w:r>
        <w:t xml:space="preserve">Signature: _________________________</w:t>
      </w:r>
      <w:r>
        <w:br/>
      </w:r>
      <w:r>
        <w:t xml:space="preserve">Date: _______________</w:t>
      </w:r>
    </w:p>
    <w:p>
      <w:pPr>
        <w:pStyle w:val="BodyText"/>
      </w:pPr>
      <w:r>
        <w:t xml:space="preserve">Quotation Estimate QE-2025-0847 — Issued by Dr. med. Heinrich Vogel, Doctor General Practitioner, Berlin, Germany.</w:t>
      </w:r>
      <w:r>
        <w:br/>
      </w:r>
      <w:r>
        <w:t xml:space="preserve">This document is generated in accordance with the GOÄ and applicable regulations of the Kassenärztliche Vereinigung Berlin.</w:t>
      </w:r>
      <w:r>
        <w:br/>
      </w:r>
      <w:r>
        <w:t xml:space="preserve">© 2025 Praxis Dr. med. Heinrich Vogel. All rights reserved. | Invalidenstraße 42, 10115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Germany Berlin</dc:title>
  <dc:creator/>
  <dc:language>en</dc:language>
  <cp:keywords/>
  <dcterms:created xsi:type="dcterms:W3CDTF">2026-10-10T07:19:21Z</dcterms:created>
  <dcterms:modified xsi:type="dcterms:W3CDTF">2026-10-10T07:19:21Z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