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Germany</w:t>
      </w:r>
      <w:r>
        <w:t xml:space="preserve"> </w:t>
      </w:r>
      <w:r>
        <w:t xml:space="preserve">Frankfurt</w:t>
      </w:r>
    </w:p>
    <w:bookmarkStart w:id="20" w:name="dr.-med.-heinrich-weber"/>
    <w:p>
      <w:pPr>
        <w:pStyle w:val="Heading1"/>
      </w:pPr>
      <w:r>
        <w:t xml:space="preserve">Dr. med. Heinrich Weber</w:t>
      </w:r>
    </w:p>
    <w:p>
      <w:pPr>
        <w:pStyle w:val="FirstParagraph"/>
      </w:pPr>
      <w:r>
        <w:rPr>
          <w:bCs/>
          <w:b/>
        </w:rPr>
        <w:t xml:space="preserve">Doctor General Practitioner</w:t>
      </w:r>
    </w:p>
    <w:p>
      <w:pPr>
        <w:pStyle w:val="BodyText"/>
      </w:pPr>
      <w:r>
        <w:t xml:space="preserve">Goethestraße 142, 60313 Frankfurt am Main</w:t>
      </w:r>
    </w:p>
    <w:p>
      <w:pPr>
        <w:pStyle w:val="BodyText"/>
      </w:pPr>
      <w:r>
        <w:t xml:space="preserve">Germany Frankfurt, Hesse</w:t>
      </w:r>
    </w:p>
    <w:p>
      <w:pPr>
        <w:pStyle w:val="BodyText"/>
      </w:pPr>
      <w:r>
        <w:t xml:space="preserve">Tel: +49 69 4455 7821 | Fax: +49 69 4455 7822</w:t>
      </w:r>
    </w:p>
    <w:p>
      <w:pPr>
        <w:pStyle w:val="BodyText"/>
      </w:pPr>
      <w:r>
        <w:t xml:space="preserve">Email: practice@drweber-frankfurt.de</w:t>
      </w:r>
    </w:p>
    <w:p>
      <w:pPr>
        <w:pStyle w:val="BodyText"/>
      </w:pPr>
      <w:r>
        <w:t xml:space="preserve">License No.: KÄV Hessen 2019-4471</w:t>
      </w:r>
    </w:p>
    <w:bookmarkEnd w:id="20"/>
    <w:bookmarkStart w:id="21" w:name="quotation-estimate"/>
    <w:p>
      <w:pPr>
        <w:pStyle w:val="Heading2"/>
      </w:pPr>
      <w:r>
        <w:t xml:space="preserve">QUOTATION ESTIMATE</w:t>
      </w:r>
    </w:p>
    <w:p>
      <w:pPr>
        <w:pStyle w:val="FirstParagraph"/>
      </w:pPr>
      <w:r>
        <w:t xml:space="preserve">Document No.: QE-2025-0847</w:t>
      </w:r>
    </w:p>
    <w:p>
      <w:pPr>
        <w:pStyle w:val="BodyText"/>
      </w:pPr>
      <w:r>
        <w:t xml:space="preserve">Date: 15 June 2025</w:t>
      </w:r>
    </w:p>
    <w:p>
      <w:pPr>
        <w:pStyle w:val="BodyText"/>
      </w:pPr>
      <w:r>
        <w:t xml:space="preserve">Valid Until: 15 July 2025</w:t>
      </w:r>
    </w:p>
    <w:bookmarkEnd w:id="21"/>
    <w:bookmarkStart w:id="22" w:name="prepared-for-client"/>
    <w:p>
      <w:pPr>
        <w:pStyle w:val="Heading3"/>
      </w:pPr>
      <w:r>
        <w:t xml:space="preserve">Prepared For (Client)</w:t>
      </w:r>
    </w:p>
    <w:p>
      <w:pPr>
        <w:pStyle w:val="FirstParagraph"/>
      </w:pPr>
      <w:r>
        <w:rPr>
          <w:bCs/>
          <w:b/>
        </w:rPr>
        <w:t xml:space="preserve">Name:</w:t>
      </w:r>
      <w:r>
        <w:t xml:space="preserve"> </w:t>
      </w:r>
      <w:r>
        <w:t xml:space="preserve">Dr. Anna Schmidt, M.D.</w:t>
      </w:r>
    </w:p>
    <w:p>
      <w:pPr>
        <w:pStyle w:val="BodyText"/>
      </w:pPr>
      <w:r>
        <w:rPr>
          <w:bCs/>
          <w:b/>
        </w:rPr>
        <w:t xml:space="preserve">Organization:</w:t>
      </w:r>
      <w:r>
        <w:t xml:space="preserve"> </w:t>
      </w:r>
      <w:r>
        <w:t xml:space="preserve">Klinikum Frankfurt-Höchst GmbH</w:t>
      </w:r>
    </w:p>
    <w:p>
      <w:pPr>
        <w:pStyle w:val="BodyText"/>
      </w:pPr>
      <w:r>
        <w:rPr>
          <w:bCs/>
          <w:b/>
        </w:rPr>
        <w:t xml:space="preserve">Address:</w:t>
      </w:r>
      <w:r>
        <w:t xml:space="preserve"> </w:t>
      </w:r>
      <w:r>
        <w:t xml:space="preserve">Ernst-Ludwig-Straße 41, 60488 Frankfurt am Main</w:t>
      </w:r>
    </w:p>
    <w:p>
      <w:pPr>
        <w:pStyle w:val="BodyText"/>
      </w:pPr>
      <w:r>
        <w:rPr>
          <w:bCs/>
          <w:b/>
        </w:rPr>
        <w:t xml:space="preserve">Germany Frankfurt</w:t>
      </w:r>
    </w:p>
    <w:p>
      <w:pPr>
        <w:pStyle w:val="BodyText"/>
      </w:pPr>
      <w:r>
        <w:rPr>
          <w:bCs/>
          <w:b/>
        </w:rPr>
        <w:t xml:space="preserve">Contact:</w:t>
      </w:r>
      <w:r>
        <w:t xml:space="preserve"> </w:t>
      </w:r>
      <w:r>
        <w:t xml:space="preserve">a.schmidt@klinikum-frankfurt.de</w:t>
      </w:r>
    </w:p>
    <w:p>
      <w:pPr>
        <w:pStyle w:val="BodyText"/>
      </w:pPr>
      <w:r>
        <w:rPr>
          <w:bCs/>
          <w:b/>
        </w:rPr>
        <w:t xml:space="preserve">Phone:</w:t>
      </w:r>
      <w:r>
        <w:t xml:space="preserve"> </w:t>
      </w:r>
      <w:r>
        <w:t xml:space="preserve">+49 69 4455 3300</w:t>
      </w:r>
    </w:p>
    <w:bookmarkEnd w:id="22"/>
    <w:bookmarkStart w:id="23" w:name="quotation-details"/>
    <w:p>
      <w:pPr>
        <w:pStyle w:val="Heading3"/>
      </w:pPr>
      <w:r>
        <w:t xml:space="preserve">Quotation Details</w:t>
      </w:r>
    </w:p>
    <w:p>
      <w:pPr>
        <w:pStyle w:val="FirstParagraph"/>
      </w:pPr>
      <w:r>
        <w:rPr>
          <w:bCs/>
          <w:b/>
        </w:rPr>
        <w:t xml:space="preserve">Quotation Estimate No.:</w:t>
      </w:r>
      <w:r>
        <w:t xml:space="preserve"> </w:t>
      </w:r>
      <w:r>
        <w:t xml:space="preserve">QE-2025-0847</w:t>
      </w:r>
    </w:p>
    <w:p>
      <w:pPr>
        <w:pStyle w:val="BodyText"/>
      </w:pPr>
      <w:r>
        <w:rPr>
          <w:bCs/>
          <w:b/>
        </w:rPr>
        <w:t xml:space="preserve">Service Category:</w:t>
      </w:r>
      <w:r>
        <w:t xml:space="preserve"> </w:t>
      </w:r>
      <w:r>
        <w:t xml:space="preserve">Doctor General Practitioner – Outpatient &amp; Inpatient Consultation</w:t>
      </w:r>
    </w:p>
    <w:p>
      <w:pPr>
        <w:pStyle w:val="BodyText"/>
      </w:pPr>
      <w:r>
        <w:rPr>
          <w:bCs/>
          <w:b/>
        </w:rPr>
        <w:t xml:space="preserve">Currency:</w:t>
      </w:r>
      <w:r>
        <w:t xml:space="preserve"> </w:t>
      </w:r>
      <w:r>
        <w:t xml:space="preserve">EUR (€)</w:t>
      </w:r>
    </w:p>
    <w:p>
      <w:pPr>
        <w:pStyle w:val="BodyText"/>
      </w:pPr>
      <w:r>
        <w:rPr>
          <w:bCs/>
          <w:b/>
        </w:rPr>
        <w:t xml:space="preserve">Payment Terms:</w:t>
      </w:r>
      <w:r>
        <w:t xml:space="preserve"> </w:t>
      </w:r>
      <w:r>
        <w:t xml:space="preserve">Net 30 days</w:t>
      </w:r>
    </w:p>
    <w:p>
      <w:pPr>
        <w:pStyle w:val="BodyText"/>
      </w:pPr>
      <w:r>
        <w:rPr>
          <w:bCs/>
          <w:b/>
        </w:rPr>
        <w:t xml:space="preserve">Reference:</w:t>
      </w:r>
      <w:r>
        <w:t xml:space="preserve"> </w:t>
      </w:r>
      <w:r>
        <w:t xml:space="preserve">Contract Ref. KFH-2025-112</w:t>
      </w:r>
    </w:p>
    <w:bookmarkEnd w:id="23"/>
    <w:p>
      <w:pPr>
        <w:pStyle w:val="BodyText"/>
      </w:pPr>
      <w:r>
        <w:t xml:space="preserve">Scope of Services – Doctor General Practitioner</w:t>
      </w:r>
    </w:p>
    <w:p>
      <w:pPr>
        <w:pStyle w:val="BodyText"/>
      </w:pPr>
      <w:r>
        <w:t xml:space="preserve">This</w:t>
      </w:r>
      <w:r>
        <w:t xml:space="preserve"> </w:t>
      </w:r>
      <w:r>
        <w:t xml:space="preserve">Quotation Estimate</w:t>
      </w:r>
      <w:r>
        <w:t xml:space="preserve"> </w:t>
      </w:r>
      <w:r>
        <w:t xml:space="preserve">is issued by Dr. med. Heinrich Weber, a licensed</w:t>
      </w:r>
      <w:r>
        <w:t xml:space="preserve"> </w:t>
      </w:r>
      <w:r>
        <w:t xml:space="preserve">Doctor General Practitioner</w:t>
      </w:r>
      <w:r>
        <w:t xml:space="preserve"> </w:t>
      </w:r>
      <w:r>
        <w:t xml:space="preserve">operating in</w:t>
      </w:r>
      <w:r>
        <w:t xml:space="preserve"> </w:t>
      </w:r>
      <w:r>
        <w:t xml:space="preserve">Germany Frankfurt</w:t>
      </w:r>
      <w:r>
        <w:t xml:space="preserve">, in response to the request for comprehensive primary care services to be provided to the above-named client. The following itemized services reflect the standard fee schedule applicable to a Doctor General Practitioner in the Frankfurt metropolitan area, in accordance with the German Medical Fee Schedule (Gebührenordnung für Ärzte – GOÄ) and supplementary private insurance agreements.</w:t>
      </w:r>
    </w:p>
    <w:p>
      <w:pPr>
        <w:pStyle w:val="BodyText"/>
      </w:pPr>
      <w:r>
        <w:t xml:space="preserve">Itemized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GOÄ Factor</w:t>
            </w:r>
          </w:p>
        </w:tc>
        <w:tc>
          <w:tcPr/>
          <w:p>
            <w:pPr>
              <w:pStyle w:val="Compact"/>
              <w:jc w:val="left"/>
            </w:pPr>
            <w:r>
              <w:t xml:space="preserve">Quantity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1</w:t>
            </w:r>
          </w:p>
        </w:tc>
        <w:tc>
          <w:tcPr/>
          <w:p>
            <w:pPr>
              <w:pStyle w:val="Compact"/>
              <w:jc w:val="left"/>
            </w:pPr>
            <w:r>
              <w:t xml:space="preserve">Initial comprehensive consultation by Doctor General Practitioner (history, examination, diagnosis)</w:t>
            </w:r>
          </w:p>
        </w:tc>
        <w:tc>
          <w:tcPr/>
          <w:p>
            <w:pPr>
              <w:pStyle w:val="Compact"/>
              <w:jc w:val="left"/>
            </w:pPr>
            <w:r>
              <w:t xml:space="preserve">1.0 ×</w:t>
            </w:r>
          </w:p>
        </w:tc>
        <w:tc>
          <w:tcPr/>
          <w:p>
            <w:pPr>
              <w:pStyle w:val="Compact"/>
              <w:jc w:val="left"/>
            </w:pPr>
            <w:r>
              <w:t xml:space="preserve">120</w:t>
            </w:r>
          </w:p>
        </w:tc>
        <w:tc>
          <w:tcPr/>
          <w:p>
            <w:pPr>
              <w:pStyle w:val="Compact"/>
              <w:jc w:val="left"/>
            </w:pPr>
            <w:r>
              <w:t xml:space="preserve">€ 82.00</w:t>
            </w:r>
          </w:p>
        </w:tc>
        <w:tc>
          <w:tcPr/>
          <w:p>
            <w:pPr>
              <w:pStyle w:val="Compact"/>
              <w:jc w:val="left"/>
            </w:pPr>
            <w:r>
              <w:t xml:space="preserve">€ 9,840.00</w:t>
            </w:r>
          </w:p>
        </w:tc>
      </w:tr>
      <w:tr>
        <w:tc>
          <w:tcPr/>
          <w:p>
            <w:pPr>
              <w:pStyle w:val="Compact"/>
              <w:jc w:val="left"/>
            </w:pPr>
            <w:r>
              <w:t xml:space="preserve">2</w:t>
            </w:r>
          </w:p>
        </w:tc>
        <w:tc>
          <w:tcPr/>
          <w:p>
            <w:pPr>
              <w:pStyle w:val="Compact"/>
              <w:jc w:val="left"/>
            </w:pPr>
            <w:r>
              <w:t xml:space="preserve">Follow-up consultation and treatment plan review (monthly recurring)</w:t>
            </w:r>
          </w:p>
        </w:tc>
        <w:tc>
          <w:tcPr/>
          <w:p>
            <w:pPr>
              <w:pStyle w:val="Compact"/>
              <w:jc w:val="left"/>
            </w:pPr>
            <w:r>
              <w:t xml:space="preserve">1.0 ×</w:t>
            </w:r>
          </w:p>
        </w:tc>
        <w:tc>
          <w:tcPr/>
          <w:p>
            <w:pPr>
              <w:pStyle w:val="Compact"/>
              <w:jc w:val="left"/>
            </w:pPr>
            <w:r>
              <w:t xml:space="preserve">240</w:t>
            </w:r>
          </w:p>
        </w:tc>
        <w:tc>
          <w:tcPr/>
          <w:p>
            <w:pPr>
              <w:pStyle w:val="Compact"/>
              <w:jc w:val="left"/>
            </w:pPr>
            <w:r>
              <w:t xml:space="preserve">€ 54.00</w:t>
            </w:r>
          </w:p>
        </w:tc>
        <w:tc>
          <w:tcPr/>
          <w:p>
            <w:pPr>
              <w:pStyle w:val="Compact"/>
              <w:jc w:val="left"/>
            </w:pPr>
            <w:r>
              <w:t xml:space="preserve">€ 12,960.00</w:t>
            </w:r>
          </w:p>
        </w:tc>
      </w:tr>
      <w:tr>
        <w:tc>
          <w:tcPr/>
          <w:p>
            <w:pPr>
              <w:pStyle w:val="Compact"/>
              <w:jc w:val="left"/>
            </w:pPr>
            <w:r>
              <w:t xml:space="preserve">3</w:t>
            </w:r>
          </w:p>
        </w:tc>
        <w:tc>
          <w:tcPr/>
          <w:p>
            <w:pPr>
              <w:pStyle w:val="Compact"/>
              <w:jc w:val="left"/>
            </w:pPr>
            <w:r>
              <w:t xml:space="preserve">Preventive health screening (annual check-up per GOÄ §10)</w:t>
            </w:r>
          </w:p>
        </w:tc>
        <w:tc>
          <w:tcPr/>
          <w:p>
            <w:pPr>
              <w:pStyle w:val="Compact"/>
              <w:jc w:val="left"/>
            </w:pPr>
            <w:r>
              <w:t xml:space="preserve">1.0 ×</w:t>
            </w:r>
          </w:p>
        </w:tc>
        <w:tc>
          <w:tcPr/>
          <w:p>
            <w:pPr>
              <w:pStyle w:val="Compact"/>
              <w:jc w:val="left"/>
            </w:pPr>
            <w:r>
              <w:t xml:space="preserve">60</w:t>
            </w:r>
          </w:p>
        </w:tc>
        <w:tc>
          <w:tcPr/>
          <w:p>
            <w:pPr>
              <w:pStyle w:val="Compact"/>
              <w:jc w:val="left"/>
            </w:pPr>
            <w:r>
              <w:t xml:space="preserve">€ 128.00</w:t>
            </w:r>
          </w:p>
        </w:tc>
        <w:tc>
          <w:tcPr/>
          <w:p>
            <w:pPr>
              <w:pStyle w:val="Compact"/>
              <w:jc w:val="left"/>
            </w:pPr>
            <w:r>
              <w:t xml:space="preserve">€ 7,680.00</w:t>
            </w:r>
          </w:p>
        </w:tc>
      </w:tr>
      <w:tr>
        <w:tc>
          <w:tcPr/>
          <w:p>
            <w:pPr>
              <w:pStyle w:val="Compact"/>
              <w:jc w:val="left"/>
            </w:pPr>
            <w:r>
              <w:t xml:space="preserve">4</w:t>
            </w:r>
          </w:p>
        </w:tc>
        <w:tc>
          <w:tcPr/>
          <w:p>
            <w:pPr>
              <w:pStyle w:val="Compact"/>
              <w:jc w:val="left"/>
            </w:pPr>
            <w:r>
              <w:t xml:space="preserve">Diagnostic laboratory coordination and result interpretation</w:t>
            </w:r>
          </w:p>
        </w:tc>
        <w:tc>
          <w:tcPr/>
          <w:p>
            <w:pPr>
              <w:pStyle w:val="Compact"/>
              <w:jc w:val="left"/>
            </w:pPr>
            <w:r>
              <w:t xml:space="preserve">1.0 ×</w:t>
            </w:r>
          </w:p>
        </w:tc>
        <w:tc>
          <w:tcPr/>
          <w:p>
            <w:pPr>
              <w:pStyle w:val="Compact"/>
              <w:jc w:val="left"/>
            </w:pPr>
            <w:r>
              <w:t xml:space="preserve">180</w:t>
            </w:r>
          </w:p>
        </w:tc>
        <w:tc>
          <w:tcPr/>
          <w:p>
            <w:pPr>
              <w:pStyle w:val="Compact"/>
              <w:jc w:val="left"/>
            </w:pPr>
            <w:r>
              <w:t xml:space="preserve">€ 38.00</w:t>
            </w:r>
          </w:p>
        </w:tc>
        <w:tc>
          <w:tcPr/>
          <w:p>
            <w:pPr>
              <w:pStyle w:val="Compact"/>
              <w:jc w:val="left"/>
            </w:pPr>
            <w:r>
              <w:t xml:space="preserve">€ 6,840.00</w:t>
            </w:r>
          </w:p>
        </w:tc>
      </w:tr>
      <w:tr>
        <w:tc>
          <w:tcPr/>
          <w:p>
            <w:pPr>
              <w:pStyle w:val="Compact"/>
              <w:jc w:val="left"/>
            </w:pPr>
            <w:r>
              <w:t xml:space="preserve">5</w:t>
            </w:r>
          </w:p>
        </w:tc>
        <w:tc>
          <w:tcPr/>
          <w:p>
            <w:pPr>
              <w:pStyle w:val="Compact"/>
              <w:jc w:val="left"/>
            </w:pPr>
            <w:r>
              <w:t xml:space="preserve">Electrocardiogram (ECG) – 12-lead, performed in practice, Germany Frankfurt</w:t>
            </w:r>
          </w:p>
        </w:tc>
        <w:tc>
          <w:tcPr/>
          <w:p>
            <w:pPr>
              <w:pStyle w:val="Compact"/>
              <w:jc w:val="left"/>
            </w:pPr>
            <w:r>
              <w:t xml:space="preserve">1.0 ×</w:t>
            </w:r>
          </w:p>
        </w:tc>
        <w:tc>
          <w:tcPr/>
          <w:p>
            <w:pPr>
              <w:pStyle w:val="Compact"/>
              <w:jc w:val="left"/>
            </w:pPr>
            <w:r>
              <w:t xml:space="preserve">90</w:t>
            </w:r>
          </w:p>
        </w:tc>
        <w:tc>
          <w:tcPr/>
          <w:p>
            <w:pPr>
              <w:pStyle w:val="Compact"/>
              <w:jc w:val="left"/>
            </w:pPr>
            <w:r>
              <w:t xml:space="preserve">€ 46.00</w:t>
            </w:r>
          </w:p>
        </w:tc>
        <w:tc>
          <w:tcPr/>
          <w:p>
            <w:pPr>
              <w:pStyle w:val="Compact"/>
              <w:jc w:val="left"/>
            </w:pPr>
            <w:r>
              <w:t xml:space="preserve">€ 4,140.00</w:t>
            </w:r>
          </w:p>
        </w:tc>
      </w:tr>
      <w:tr>
        <w:tc>
          <w:tcPr/>
          <w:p>
            <w:pPr>
              <w:pStyle w:val="Compact"/>
              <w:jc w:val="left"/>
            </w:pPr>
            <w:r>
              <w:t xml:space="preserve">6</w:t>
            </w:r>
          </w:p>
        </w:tc>
        <w:tc>
          <w:tcPr/>
          <w:p>
            <w:pPr>
              <w:pStyle w:val="Compact"/>
              <w:jc w:val="left"/>
            </w:pPr>
            <w:r>
              <w:t xml:space="preserve">Urgent same-day consultation (after-hours, Doctor General Practitioner on-call)</w:t>
            </w:r>
          </w:p>
        </w:tc>
        <w:tc>
          <w:tcPr/>
          <w:p>
            <w:pPr>
              <w:pStyle w:val="Compact"/>
              <w:jc w:val="left"/>
            </w:pPr>
            <w:r>
              <w:t xml:space="preserve">2.3 ×</w:t>
            </w:r>
          </w:p>
        </w:tc>
        <w:tc>
          <w:tcPr/>
          <w:p>
            <w:pPr>
              <w:pStyle w:val="Compact"/>
              <w:jc w:val="left"/>
            </w:pPr>
            <w:r>
              <w:t xml:space="preserve">30</w:t>
            </w:r>
          </w:p>
        </w:tc>
        <w:tc>
          <w:tcPr/>
          <w:p>
            <w:pPr>
              <w:pStyle w:val="Compact"/>
              <w:jc w:val="left"/>
            </w:pPr>
            <w:r>
              <w:t xml:space="preserve">€ 189.00</w:t>
            </w:r>
          </w:p>
        </w:tc>
        <w:tc>
          <w:tcPr/>
          <w:p>
            <w:pPr>
              <w:pStyle w:val="Compact"/>
              <w:jc w:val="left"/>
            </w:pPr>
            <w:r>
              <w:t xml:space="preserve">€ 5,670.00</w:t>
            </w:r>
          </w:p>
        </w:tc>
      </w:tr>
      <w:tr>
        <w:tc>
          <w:tcPr/>
          <w:p>
            <w:pPr>
              <w:pStyle w:val="Compact"/>
              <w:jc w:val="left"/>
            </w:pPr>
            <w:r>
              <w:t xml:space="preserve">7</w:t>
            </w:r>
          </w:p>
        </w:tc>
        <w:tc>
          <w:tcPr/>
          <w:p>
            <w:pPr>
              <w:pStyle w:val="Compact"/>
              <w:jc w:val="left"/>
            </w:pPr>
            <w:r>
              <w:t xml:space="preserve">Medical certificate and documentation for employer or insurance purposes</w:t>
            </w:r>
          </w:p>
        </w:tc>
        <w:tc>
          <w:tcPr/>
          <w:p>
            <w:pPr>
              <w:pStyle w:val="Compact"/>
              <w:jc w:val="left"/>
            </w:pPr>
            <w:r>
              <w:t xml:space="preserve">1.0 ×</w:t>
            </w:r>
          </w:p>
        </w:tc>
        <w:tc>
          <w:tcPr/>
          <w:p>
            <w:pPr>
              <w:pStyle w:val="Compact"/>
              <w:jc w:val="left"/>
            </w:pPr>
            <w:r>
              <w:t xml:space="preserve">150</w:t>
            </w:r>
          </w:p>
        </w:tc>
        <w:tc>
          <w:tcPr/>
          <w:p>
            <w:pPr>
              <w:pStyle w:val="Compact"/>
              <w:jc w:val="left"/>
            </w:pPr>
            <w:r>
              <w:t xml:space="preserve">€ 22.00</w:t>
            </w:r>
          </w:p>
        </w:tc>
        <w:tc>
          <w:tcPr/>
          <w:p>
            <w:pPr>
              <w:pStyle w:val="Compact"/>
              <w:jc w:val="left"/>
            </w:pPr>
            <w:r>
              <w:t xml:space="preserve">€ 3,300.00</w:t>
            </w:r>
          </w:p>
        </w:tc>
      </w:tr>
      <w:tr>
        <w:tc>
          <w:tcPr/>
          <w:p>
            <w:pPr>
              <w:pStyle w:val="Compact"/>
              <w:jc w:val="left"/>
            </w:pPr>
            <w:r>
              <w:t xml:space="preserve">8</w:t>
            </w:r>
          </w:p>
        </w:tc>
        <w:tc>
          <w:tcPr/>
          <w:p>
            <w:pPr>
              <w:pStyle w:val="Compact"/>
              <w:jc w:val="left"/>
            </w:pPr>
            <w:r>
              <w:t xml:space="preserve">Home visit – Doctor General Practitioner, within Frankfurt city limits</w:t>
            </w:r>
          </w:p>
        </w:tc>
        <w:tc>
          <w:tcPr/>
          <w:p>
            <w:pPr>
              <w:pStyle w:val="Compact"/>
              <w:jc w:val="left"/>
            </w:pPr>
            <w:r>
              <w:t xml:space="preserve">1.0 ×</w:t>
            </w:r>
          </w:p>
        </w:tc>
        <w:tc>
          <w:tcPr/>
          <w:p>
            <w:pPr>
              <w:pStyle w:val="Compact"/>
              <w:jc w:val="left"/>
            </w:pPr>
            <w:r>
              <w:t xml:space="preserve">25</w:t>
            </w:r>
          </w:p>
        </w:tc>
        <w:tc>
          <w:tcPr/>
          <w:p>
            <w:pPr>
              <w:pStyle w:val="Compact"/>
              <w:jc w:val="left"/>
            </w:pPr>
            <w:r>
              <w:t xml:space="preserve">€ 112.00</w:t>
            </w:r>
          </w:p>
        </w:tc>
        <w:tc>
          <w:tcPr/>
          <w:p>
            <w:pPr>
              <w:pStyle w:val="Compact"/>
              <w:jc w:val="left"/>
            </w:pPr>
            <w:r>
              <w:t xml:space="preserve">€ 2,800.00</w:t>
            </w:r>
          </w:p>
        </w:tc>
      </w:tr>
      <w:tr>
        <w:tc>
          <w:tcPr/>
          <w:p>
            <w:pPr>
              <w:pStyle w:val="Compact"/>
              <w:jc w:val="left"/>
            </w:pPr>
            <w:r>
              <w:t xml:space="preserve">9</w:t>
            </w:r>
          </w:p>
        </w:tc>
        <w:tc>
          <w:tcPr/>
          <w:p>
            <w:pPr>
              <w:pStyle w:val="Compact"/>
              <w:jc w:val="left"/>
            </w:pPr>
            <w:r>
              <w:t xml:space="preserve">Telemedicine consultation (video-based, Doctor General Practitioner)</w:t>
            </w:r>
          </w:p>
        </w:tc>
        <w:tc>
          <w:tcPr/>
          <w:p>
            <w:pPr>
              <w:pStyle w:val="Compact"/>
              <w:jc w:val="left"/>
            </w:pPr>
            <w:r>
              <w:t xml:space="preserve">1.0 ×</w:t>
            </w:r>
          </w:p>
        </w:tc>
        <w:tc>
          <w:tcPr/>
          <w:p>
            <w:pPr>
              <w:pStyle w:val="Compact"/>
              <w:jc w:val="left"/>
            </w:pPr>
            <w:r>
              <w:t xml:space="preserve">80</w:t>
            </w:r>
          </w:p>
        </w:tc>
        <w:tc>
          <w:tcPr/>
          <w:p>
            <w:pPr>
              <w:pStyle w:val="Compact"/>
              <w:jc w:val="left"/>
            </w:pPr>
            <w:r>
              <w:t xml:space="preserve">€ 42.00</w:t>
            </w:r>
          </w:p>
        </w:tc>
        <w:tc>
          <w:tcPr/>
          <w:p>
            <w:pPr>
              <w:pStyle w:val="Compact"/>
              <w:jc w:val="left"/>
            </w:pPr>
            <w:r>
              <w:t xml:space="preserve">€ 3,360.00</w:t>
            </w:r>
          </w:p>
        </w:tc>
      </w:tr>
      <w:tr>
        <w:tc>
          <w:tcPr/>
          <w:p>
            <w:pPr>
              <w:pStyle w:val="Compact"/>
              <w:jc w:val="left"/>
            </w:pPr>
            <w:r>
              <w:t xml:space="preserve">10</w:t>
            </w:r>
          </w:p>
        </w:tc>
        <w:tc>
          <w:tcPr/>
          <w:p>
            <w:pPr>
              <w:pStyle w:val="Compact"/>
              <w:jc w:val="left"/>
            </w:pPr>
            <w:r>
              <w:t xml:space="preserve">Chronic disease management program (diabetes, hypertension) – quarterly review</w:t>
            </w:r>
          </w:p>
        </w:tc>
        <w:tc>
          <w:tcPr/>
          <w:p>
            <w:pPr>
              <w:pStyle w:val="Compact"/>
              <w:jc w:val="left"/>
            </w:pPr>
            <w:r>
              <w:t xml:space="preserve">1.0 ×</w:t>
            </w:r>
          </w:p>
        </w:tc>
        <w:tc>
          <w:tcPr/>
          <w:p>
            <w:pPr>
              <w:pStyle w:val="Compact"/>
              <w:jc w:val="left"/>
            </w:pPr>
            <w:r>
              <w:t xml:space="preserve">100</w:t>
            </w:r>
          </w:p>
        </w:tc>
        <w:tc>
          <w:tcPr/>
          <w:p>
            <w:pPr>
              <w:pStyle w:val="Compact"/>
              <w:jc w:val="left"/>
            </w:pPr>
            <w:r>
              <w:t xml:space="preserve">€ 76.00</w:t>
            </w:r>
          </w:p>
        </w:tc>
        <w:tc>
          <w:tcPr/>
          <w:p>
            <w:pPr>
              <w:pStyle w:val="Compact"/>
              <w:jc w:val="left"/>
            </w:pPr>
            <w:r>
              <w:t xml:space="preserve">€ 7,600.00</w:t>
            </w:r>
          </w:p>
        </w:tc>
      </w:tr>
      <w:tr>
        <w:tc>
          <w:tcPr>
            <w:gridSpan w:val="5"/>
          </w:tcPr>
          <w:p>
            <w:pPr>
              <w:pStyle w:val="Compact"/>
              <w:jc w:val="right"/>
            </w:pPr>
            <w:r>
              <w:t xml:space="preserve">Subtotal (excl. VAT):</w:t>
            </w:r>
          </w:p>
        </w:tc>
        <w:tc>
          <w:tcPr/>
          <w:p>
            <w:pPr>
              <w:pStyle w:val="Compact"/>
              <w:jc w:val="left"/>
            </w:pPr>
            <w:r>
              <w:t xml:space="preserve">€ 64,190.00</w:t>
            </w:r>
          </w:p>
        </w:tc>
      </w:tr>
      <w:tr>
        <w:tc>
          <w:tcPr>
            <w:gridSpan w:val="5"/>
          </w:tcPr>
          <w:p>
            <w:pPr>
              <w:pStyle w:val="Compact"/>
              <w:jc w:val="right"/>
            </w:pPr>
            <w:r>
              <w:t xml:space="preserve">VAT (19% – German standard rate):</w:t>
            </w:r>
          </w:p>
        </w:tc>
        <w:tc>
          <w:tcPr/>
          <w:p>
            <w:pPr>
              <w:pStyle w:val="Compact"/>
              <w:jc w:val="left"/>
            </w:pPr>
            <w:r>
              <w:t xml:space="preserve">€ 12,196.10</w:t>
            </w:r>
          </w:p>
        </w:tc>
      </w:tr>
      <w:tr>
        <w:tc>
          <w:tcPr>
            <w:gridSpan w:val="5"/>
          </w:tcPr>
          <w:p>
            <w:pPr>
              <w:pStyle w:val="Compact"/>
              <w:jc w:val="right"/>
            </w:pPr>
            <w:r>
              <w:t xml:space="preserve">Grand Total (incl. VAT):</w:t>
            </w:r>
          </w:p>
        </w:tc>
        <w:tc>
          <w:tcPr/>
          <w:p>
            <w:pPr>
              <w:pStyle w:val="Compact"/>
              <w:jc w:val="left"/>
            </w:pPr>
            <w:r>
              <w:t xml:space="preserve">€ 76,386.10</w:t>
            </w:r>
          </w:p>
        </w:tc>
      </w:tr>
    </w:tbl>
    <w:p>
      <w:pPr>
        <w:pStyle w:val="BodyText"/>
      </w:pPr>
      <w:r>
        <w:t xml:space="preserve">Terms and Conditions</w:t>
      </w:r>
    </w:p>
    <w:p>
      <w:pPr>
        <w:pStyle w:val="BodyText"/>
      </w:pPr>
      <w:r>
        <w:rPr>
          <w:bCs/>
          <w:b/>
        </w:rPr>
        <w:t xml:space="preserve">1. Validity:</w:t>
      </w:r>
      <w:r>
        <w:t xml:space="preserve"> </w:t>
      </w:r>
      <w:r>
        <w:t xml:space="preserve">This Quotation Estimate is valid for 30 calendar days from the date of issue. After the expiry date, all prices are subject to revision in line with the current GOÄ fee schedule applicable in Germany Frankfurt.</w:t>
      </w:r>
    </w:p>
    <w:p>
      <w:pPr>
        <w:pStyle w:val="BodyText"/>
      </w:pPr>
      <w:r>
        <w:rPr>
          <w:bCs/>
          <w:b/>
        </w:rPr>
        <w:t xml:space="preserve">2. Scope:</w:t>
      </w:r>
      <w:r>
        <w:t xml:space="preserve"> </w:t>
      </w:r>
      <w:r>
        <w:t xml:space="preserve">All services listed herein are to be rendered by Dr. med. Heinrich Weber, a Doctor General Practitioner registered with the Ärztekammer Hessen. In the event of unavailability, a qualified substitute Doctor General Practitioner from the same practice in Frankfurt will be assigned without additional charge.</w:t>
      </w:r>
    </w:p>
    <w:p>
      <w:pPr>
        <w:pStyle w:val="BodyText"/>
      </w:pPr>
      <w:r>
        <w:rPr>
          <w:bCs/>
          <w:b/>
        </w:rPr>
        <w:t xml:space="preserve">3. Payment:</w:t>
      </w:r>
      <w:r>
        <w:t xml:space="preserve"> </w:t>
      </w:r>
      <w:r>
        <w:t xml:space="preserve">Invoices shall be issued monthly in arrears. Payment is due within 30 days of invoice date via bank transfer to the practice account (IBAN: DE89 5001 0517 0000 0000 00, BIC: PBNKDEFF). Late payments shall incur interest at the statutory rate of 8% above the ECB base rate.</w:t>
      </w:r>
    </w:p>
    <w:p>
      <w:pPr>
        <w:pStyle w:val="BodyText"/>
      </w:pPr>
      <w:r>
        <w:rPr>
          <w:bCs/>
          <w:b/>
        </w:rPr>
        <w:t xml:space="preserve">4. Cancellation:</w:t>
      </w:r>
      <w:r>
        <w:t xml:space="preserve"> </w:t>
      </w:r>
      <w:r>
        <w:t xml:space="preserve">The client may terminate this Quotation Estimate agreement with 30 days' written notice. Services already rendered prior to the effective date of termination remain payable in full.</w:t>
      </w:r>
    </w:p>
    <w:p>
      <w:pPr>
        <w:pStyle w:val="BodyText"/>
      </w:pPr>
      <w:r>
        <w:rPr>
          <w:bCs/>
          <w:b/>
        </w:rPr>
        <w:t xml:space="preserve">5. Confidentiality:</w:t>
      </w:r>
      <w:r>
        <w:t xml:space="preserve"> </w:t>
      </w:r>
      <w:r>
        <w:t xml:space="preserve">All patient data processed under this arrangement shall be handled in strict compliance with the German Federal Data Protection Act (BDSG) and the EU General Data Protection Regulation (GDPR). The Doctor General Practitioner practice in Germany Frankfurt maintains full HIPAA-equivalent data security protocols.</w:t>
      </w:r>
    </w:p>
    <w:p>
      <w:pPr>
        <w:pStyle w:val="BodyText"/>
      </w:pPr>
      <w:r>
        <w:rPr>
          <w:bCs/>
          <w:b/>
        </w:rPr>
        <w:t xml:space="preserve">6. Liability:</w:t>
      </w:r>
      <w:r>
        <w:t xml:space="preserve"> </w:t>
      </w:r>
      <w:r>
        <w:t xml:space="preserve">The Doctor General Practitioner shall maintain professional liability insurance (Berufshaftpflicht) with a minimum coverage of € 5,000,000 per claim, as required by the Ärztekammer Hessen for practitioners operating in Germany Frankfurt.</w:t>
      </w:r>
    </w:p>
    <w:p>
      <w:pPr>
        <w:pStyle w:val="BodyText"/>
      </w:pPr>
      <w:r>
        <w:rPr>
          <w:bCs/>
          <w:b/>
        </w:rPr>
        <w:t xml:space="preserve">7. Governing Law:</w:t>
      </w:r>
      <w:r>
        <w:t xml:space="preserve"> </w:t>
      </w:r>
      <w:r>
        <w:t xml:space="preserve">This Quotation Estimate and any resulting contractual relationship shall be governed by the laws of the Federal Republic of Germany. Jurisdiction for any disputes shall lie with the competent court in Frankfurt am Main, Germany Frankfurt.</w:t>
      </w:r>
    </w:p>
    <w:p>
      <w:pPr>
        <w:pStyle w:val="BodyText"/>
      </w:pPr>
      <w:r>
        <w:rPr>
          <w:bCs/>
          <w:b/>
        </w:rPr>
        <w:t xml:space="preserve">8. Tax Exemption Note:</w:t>
      </w:r>
      <w:r>
        <w:t xml:space="preserve"> </w:t>
      </w:r>
      <w:r>
        <w:t xml:space="preserve">Medical services rendered by a Doctor General Practitioner to statutory health insurance (GKV) patients are VAT-exempt under § 4 No. 14 UStG. The VAT shown above applies only to private (PKV) and self-pay services.</w:t>
      </w:r>
    </w:p>
    <w:p>
      <w:pPr>
        <w:pStyle w:val="BodyText"/>
      </w:pPr>
      <w:r>
        <w:t xml:space="preserve">Acceptance and Authorization</w:t>
      </w:r>
    </w:p>
    <w:p>
      <w:pPr>
        <w:pStyle w:val="BodyText"/>
      </w:pPr>
      <w:r>
        <w:t xml:space="preserve">By signing below, both parties acknowledge and accept the terms set forth in this Quotation Estimate for the Doctor General Practitioner services to be provided in Germany Frankfurt.</w:t>
      </w:r>
    </w:p>
    <w:p>
      <w:pPr>
        <w:pStyle w:val="BodyText"/>
      </w:pPr>
      <w:r>
        <w:rPr>
          <w:bCs/>
          <w:b/>
        </w:rPr>
        <w:t xml:space="preserve">For the Practice (Doctor General Practitioner)</w:t>
      </w:r>
    </w:p>
    <w:p>
      <w:pPr>
        <w:pStyle w:val="BodyText"/>
      </w:pPr>
      <w:r>
        <w:t xml:space="preserve">Dr. med. Heinrich Weber</w:t>
      </w:r>
      <w:r>
        <w:br/>
      </w:r>
      <w:r>
        <w:t xml:space="preserve">Signature &amp; Date</w:t>
      </w:r>
    </w:p>
    <w:p>
      <w:pPr>
        <w:pStyle w:val="BodyText"/>
      </w:pPr>
      <w:r>
        <w:rPr>
          <w:bCs/>
          <w:b/>
        </w:rPr>
        <w:t xml:space="preserve">For the Client</w:t>
      </w:r>
    </w:p>
    <w:p>
      <w:pPr>
        <w:pStyle w:val="BodyText"/>
      </w:pPr>
      <w:r>
        <w:t xml:space="preserve">Dr. Anna Schmidt, M.D.</w:t>
      </w:r>
      <w:r>
        <w:br/>
      </w:r>
      <w:r>
        <w:t xml:space="preserve">Klinikum Frankfurt-Höchst GmbH</w:t>
      </w:r>
      <w:r>
        <w:br/>
      </w:r>
      <w:r>
        <w:t xml:space="preserve">Signature &amp; Date</w:t>
      </w:r>
    </w:p>
    <w:p>
      <w:pPr>
        <w:pStyle w:val="BodyText"/>
      </w:pPr>
      <w:r>
        <w:t xml:space="preserve">This Quotation Estimate was prepared by the practice of Dr. med. Heinrich Weber, Doctor General Practitioner, Goethestraße 142, 60313 Germany Frankfurt. Document QE-2025-0847. This document is confidential and intended solely for the named recipient. Unauthorized reproduction or distribution is prohibited. For questions regarding this Quotation Estimate, please contact the practice office at +49 69 4455 7821 during business hours (Monday–Friday, 08:00–18:00 CET).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Doctor General Practitioner - Germany Frankfurt</dc:title>
  <dc:creator/>
  <dc:language>en</dc:language>
  <cp:keywords/>
  <dcterms:created xsi:type="dcterms:W3CDTF">2026-10-10T08:00:53Z</dcterms:created>
  <dcterms:modified xsi:type="dcterms:W3CDTF">2026-10-10T08:00:53Z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