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Munich,</w:t>
      </w:r>
      <w:r>
        <w:t xml:space="preserve"> </w:t>
      </w:r>
      <w:r>
        <w:t xml:space="preserve">Germany</w:t>
      </w:r>
    </w:p>
    <w:bookmarkStart w:id="20" w:name="quotation-estimate"/>
    <w:p>
      <w:pPr>
        <w:pStyle w:val="Heading1"/>
      </w:pPr>
      <w:r>
        <w:t xml:space="preserve">Quotation Estimate</w:t>
      </w:r>
    </w:p>
    <w:p>
      <w:pPr>
        <w:pStyle w:val="FirstParagraph"/>
      </w:pPr>
      <w:r>
        <w:t xml:space="preserve">Medical Services &amp; General Practice Consultation</w:t>
      </w:r>
    </w:p>
    <w:p>
      <w:pPr>
        <w:pStyle w:val="BodyText"/>
      </w:pPr>
      <w:r>
        <w:t xml:space="preserve">Munich, Germany — Bavaria</w:t>
      </w:r>
    </w:p>
    <w:bookmarkEnd w:id="20"/>
    <w:bookmarkStart w:id="21" w:name="Xaf5705925611504e24549a5b00a591b6203087c"/>
    <w:p>
      <w:pPr>
        <w:pStyle w:val="Heading3"/>
      </w:pPr>
      <w:r>
        <w:t xml:space="preserve">Doctor General Practitioner — Practice Details</w:t>
      </w:r>
    </w:p>
    <w:p>
      <w:pPr>
        <w:pStyle w:val="FirstParagraph"/>
      </w:pPr>
      <w:r>
        <w:rPr>
          <w:bCs/>
          <w:b/>
        </w:rPr>
        <w:t xml:space="preserve">Dr. med. Heinrich Bauer</w:t>
      </w:r>
      <w:r>
        <w:br/>
      </w:r>
      <w:r>
        <w:t xml:space="preserve">Doctor General Practitioner (Hausarzt)</w:t>
      </w:r>
      <w:r>
        <w:br/>
      </w:r>
      <w:r>
        <w:t xml:space="preserve">Praxis Dr. Bauer &amp; Kollegen</w:t>
      </w:r>
      <w:r>
        <w:br/>
      </w:r>
      <w:r>
        <w:t xml:space="preserve">Leopoldstrasse 142, 80802 Munich, Germany</w:t>
      </w:r>
      <w:r>
        <w:br/>
      </w:r>
      <w:r>
        <w:t xml:space="preserve">Tel: +49 89 555 0142</w:t>
      </w:r>
      <w:r>
        <w:br/>
      </w:r>
      <w:r>
        <w:t xml:space="preserve">Email: praxis@drbauer-muenchen.de</w:t>
      </w:r>
      <w:r>
        <w:br/>
      </w:r>
      <w:r>
        <w:t xml:space="preserve">Kassenärztliche Vereinigung Bayerns (KVB) Member</w:t>
      </w:r>
    </w:p>
    <w:bookmarkEnd w:id="21"/>
    <w:bookmarkStart w:id="22" w:name="quotation-estimate-details"/>
    <w:p>
      <w:pPr>
        <w:pStyle w:val="Heading3"/>
      </w:pPr>
      <w:r>
        <w:t xml:space="preserve">Quotation Estimate Details</w:t>
      </w:r>
    </w:p>
    <w:p>
      <w:pPr>
        <w:pStyle w:val="FirstParagraph"/>
      </w:pPr>
      <w:r>
        <w:rPr>
          <w:bCs/>
          <w:b/>
        </w:rPr>
        <w:t xml:space="preserve">Quotation No.:</w:t>
      </w:r>
      <w:r>
        <w:t xml:space="preserve"> </w:t>
      </w:r>
      <w:r>
        <w:t xml:space="preserve">QE-2025-04871</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[Client / Insurer Name]</w:t>
      </w:r>
      <w:r>
        <w:br/>
      </w:r>
      <w:r>
        <w:rPr>
          <w:bCs/>
          <w:b/>
        </w:rPr>
        <w:t xml:space="preserve">Reference:</w:t>
      </w:r>
      <w:r>
        <w:t xml:space="preserve"> </w:t>
      </w:r>
      <w:r>
        <w:t xml:space="preserve">Patient File #2025-08834</w:t>
      </w:r>
      <w:r>
        <w:br/>
      </w:r>
      <w:r>
        <w:rPr>
          <w:bCs/>
          <w:b/>
        </w:rPr>
        <w:t xml:space="preserve">Location:</w:t>
      </w:r>
      <w:r>
        <w:t xml:space="preserve"> </w:t>
      </w:r>
      <w:r>
        <w:t xml:space="preserve">Munich, Germany</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Type:</w:t>
            </w:r>
          </w:p>
        </w:tc>
        <w:tc>
          <w:tcPr/>
          <w:p>
            <w:pPr>
              <w:pStyle w:val="Compact"/>
              <w:jc w:val="left"/>
            </w:pPr>
            <w:r>
              <w:t xml:space="preserve">Comprehensive General Practice Medical Services — Outpatient Care</w:t>
            </w:r>
          </w:p>
        </w:tc>
      </w:tr>
      <w:tr>
        <w:tc>
          <w:tcPr/>
          <w:p>
            <w:pPr>
              <w:pStyle w:val="Compact"/>
              <w:jc w:val="left"/>
            </w:pPr>
            <w:r>
              <w:t xml:space="preserve">Service Provider:</w:t>
            </w:r>
          </w:p>
        </w:tc>
        <w:tc>
          <w:tcPr/>
          <w:p>
            <w:pPr>
              <w:pStyle w:val="Compact"/>
              <w:jc w:val="left"/>
            </w:pPr>
            <w:r>
              <w:t xml:space="preserve">Doctor General Practitioner, Praxis Dr. Bauer &amp; Kollegen, Munich, Germany</w:t>
            </w:r>
          </w:p>
        </w:tc>
      </w:tr>
      <w:tr>
        <w:tc>
          <w:tcPr/>
          <w:p>
            <w:pPr>
              <w:pStyle w:val="Compact"/>
              <w:jc w:val="left"/>
            </w:pPr>
            <w:r>
              <w:t xml:space="preserve">Currency:</w:t>
            </w:r>
          </w:p>
        </w:tc>
        <w:tc>
          <w:tcPr/>
          <w:p>
            <w:pPr>
              <w:pStyle w:val="Compact"/>
              <w:jc w:val="left"/>
            </w:pPr>
            <w:r>
              <w:t xml:space="preserve">Euro (EUR) — German Federal Republic</w:t>
            </w:r>
          </w:p>
        </w:tc>
      </w:tr>
      <w:tr>
        <w:tc>
          <w:tcPr/>
          <w:p>
            <w:pPr>
              <w:pStyle w:val="Compact"/>
              <w:jc w:val="left"/>
            </w:pPr>
            <w:r>
              <w:t xml:space="preserve">Regulatory Framework:</w:t>
            </w:r>
          </w:p>
        </w:tc>
        <w:tc>
          <w:tcPr/>
          <w:p>
            <w:pPr>
              <w:pStyle w:val="Compact"/>
              <w:jc w:val="left"/>
            </w:pPr>
            <w:r>
              <w:t xml:space="preserve">German Medical Professional Act (Muster-Heilberufsgesetz), Bavarian State Medical Chamber (Bayerische Landesärztekammer)</w:t>
            </w:r>
          </w:p>
        </w:tc>
      </w:tr>
    </w:tbl>
    <w:bookmarkStart w:id="24" w:name="X4c25106188c7d620670735741db6663311824e3"/>
    <w:p>
      <w:pPr>
        <w:pStyle w:val="Heading2"/>
      </w:pPr>
      <w:r>
        <w:t xml:space="preserve">Itemised Quotation Estimate — Doctor General Practitioner Services</w:t>
      </w:r>
    </w:p>
    <w:p>
      <w:pPr>
        <w:pStyle w:val="FirstParagraph"/>
      </w:pPr>
      <w:r>
        <w:t xml:space="preserve">This Quotation Estimate outlines the anticipated costs for a full course of general practice medical care provided by a Doctor General Practitioner in Munich, Germany. All fees are structured in accordance with the German Uniform Medical Fee Schedule (Gebührenordnung für Ärzte — GOÄ) and applicable Bavarian state regulations. The Doctor General Practitioner at this practice in Munich, Germany, provides comprehensive primary care including preventive medicine, acute illness management, chronic disease monitoring, and referrals to specialist services within the Munich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GOÄ Code</w:t>
            </w:r>
          </w:p>
        </w:tc>
        <w:tc>
          <w:tcPr/>
          <w:p>
            <w:pPr>
              <w:pStyle w:val="Compact"/>
              <w:jc w:val="left"/>
            </w:pPr>
            <w:r>
              <w:t xml:space="preserve">Multiplier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comprehensive consultation with Doctor General Practitioner — full medical history, physical examination, and assessment in Munich, Germany</w:t>
            </w:r>
          </w:p>
        </w:tc>
        <w:tc>
          <w:tcPr/>
          <w:p>
            <w:pPr>
              <w:pStyle w:val="Compact"/>
              <w:jc w:val="left"/>
            </w:pPr>
            <w:r>
              <w:t xml:space="preserve">GO 1</w:t>
            </w:r>
          </w:p>
        </w:tc>
        <w:tc>
          <w:tcPr/>
          <w:p>
            <w:pPr>
              <w:pStyle w:val="Compact"/>
              <w:jc w:val="left"/>
            </w:pPr>
            <w:r>
              <w:t xml:space="preserve">2.3×</w:t>
            </w:r>
          </w:p>
        </w:tc>
        <w:tc>
          <w:tcPr/>
          <w:p>
            <w:pPr>
              <w:pStyle w:val="Compact"/>
              <w:jc w:val="left"/>
            </w:pPr>
            <w:r>
              <w:t xml:space="preserve">€ 128.70</w:t>
            </w:r>
          </w:p>
        </w:tc>
      </w:tr>
      <w:tr>
        <w:tc>
          <w:tcPr/>
          <w:p>
            <w:pPr>
              <w:pStyle w:val="Compact"/>
              <w:jc w:val="left"/>
            </w:pPr>
            <w:r>
              <w:t xml:space="preserve">02</w:t>
            </w:r>
          </w:p>
        </w:tc>
        <w:tc>
          <w:tcPr/>
          <w:p>
            <w:pPr>
              <w:pStyle w:val="Compact"/>
              <w:jc w:val="left"/>
            </w:pPr>
            <w:r>
              <w:t xml:space="preserve">Follow-up consultation with Doctor General Practitioner — review of findings, treatment plan discussion, and medication adjustment</w:t>
            </w:r>
          </w:p>
        </w:tc>
        <w:tc>
          <w:tcPr/>
          <w:p>
            <w:pPr>
              <w:pStyle w:val="Compact"/>
              <w:jc w:val="left"/>
            </w:pPr>
            <w:r>
              <w:t xml:space="preserve">GO 2</w:t>
            </w:r>
          </w:p>
        </w:tc>
        <w:tc>
          <w:tcPr/>
          <w:p>
            <w:pPr>
              <w:pStyle w:val="Compact"/>
              <w:jc w:val="left"/>
            </w:pPr>
            <w:r>
              <w:t xml:space="preserve">2.3×</w:t>
            </w:r>
          </w:p>
        </w:tc>
        <w:tc>
          <w:tcPr/>
          <w:p>
            <w:pPr>
              <w:pStyle w:val="Compact"/>
              <w:jc w:val="left"/>
            </w:pPr>
            <w:r>
              <w:t xml:space="preserve">€ 85.80</w:t>
            </w:r>
          </w:p>
        </w:tc>
      </w:tr>
      <w:tr>
        <w:tc>
          <w:tcPr/>
          <w:p>
            <w:pPr>
              <w:pStyle w:val="Compact"/>
              <w:jc w:val="left"/>
            </w:pPr>
            <w:r>
              <w:t xml:space="preserve">03</w:t>
            </w:r>
          </w:p>
        </w:tc>
        <w:tc>
          <w:tcPr/>
          <w:p>
            <w:pPr>
              <w:pStyle w:val="Compact"/>
              <w:jc w:val="left"/>
            </w:pPr>
            <w:r>
              <w:t xml:space="preserve">Preventive health examination (Gesundheitscheck) as performed by Doctor General Practitioner — cardiovascular risk assessment, blood panel, urinalysis</w:t>
            </w:r>
          </w:p>
        </w:tc>
        <w:tc>
          <w:tcPr/>
          <w:p>
            <w:pPr>
              <w:pStyle w:val="Compact"/>
              <w:jc w:val="left"/>
            </w:pPr>
            <w:r>
              <w:t xml:space="preserve">GO 31</w:t>
            </w:r>
          </w:p>
        </w:tc>
        <w:tc>
          <w:tcPr/>
          <w:p>
            <w:pPr>
              <w:pStyle w:val="Compact"/>
              <w:jc w:val="left"/>
            </w:pPr>
            <w:r>
              <w:t xml:space="preserve">2.3×</w:t>
            </w:r>
          </w:p>
        </w:tc>
        <w:tc>
          <w:tcPr/>
          <w:p>
            <w:pPr>
              <w:pStyle w:val="Compact"/>
              <w:jc w:val="left"/>
            </w:pPr>
            <w:r>
              <w:t xml:space="preserve">€ 142.00</w:t>
            </w:r>
          </w:p>
        </w:tc>
      </w:tr>
      <w:tr>
        <w:tc>
          <w:tcPr/>
          <w:p>
            <w:pPr>
              <w:pStyle w:val="Compact"/>
              <w:jc w:val="left"/>
            </w:pPr>
            <w:r>
              <w:t xml:space="preserve">04</w:t>
            </w:r>
          </w:p>
        </w:tc>
        <w:tc>
          <w:tcPr/>
          <w:p>
            <w:pPr>
              <w:pStyle w:val="Compact"/>
              <w:jc w:val="left"/>
            </w:pPr>
            <w:r>
              <w:t xml:space="preserve">Electrocardiogram (EKG) — 12-lead, performed and interpreted by Doctor General Practitioner in Munich, Germany</w:t>
            </w:r>
          </w:p>
        </w:tc>
        <w:tc>
          <w:tcPr/>
          <w:p>
            <w:pPr>
              <w:pStyle w:val="Compact"/>
              <w:jc w:val="left"/>
            </w:pPr>
            <w:r>
              <w:t xml:space="preserve">GO 27</w:t>
            </w:r>
          </w:p>
        </w:tc>
        <w:tc>
          <w:tcPr/>
          <w:p>
            <w:pPr>
              <w:pStyle w:val="Compact"/>
              <w:jc w:val="left"/>
            </w:pPr>
            <w:r>
              <w:t xml:space="preserve">2.3×</w:t>
            </w:r>
          </w:p>
        </w:tc>
        <w:tc>
          <w:tcPr/>
          <w:p>
            <w:pPr>
              <w:pStyle w:val="Compact"/>
              <w:jc w:val="left"/>
            </w:pPr>
            <w:r>
              <w:t xml:space="preserve">€ 64.50</w:t>
            </w:r>
          </w:p>
        </w:tc>
      </w:tr>
      <w:tr>
        <w:tc>
          <w:tcPr/>
          <w:p>
            <w:pPr>
              <w:pStyle w:val="Compact"/>
              <w:jc w:val="left"/>
            </w:pPr>
            <w:r>
              <w:t xml:space="preserve">05</w:t>
            </w:r>
          </w:p>
        </w:tc>
        <w:tc>
          <w:tcPr/>
          <w:p>
            <w:pPr>
              <w:pStyle w:val="Compact"/>
              <w:jc w:val="left"/>
            </w:pPr>
            <w:r>
              <w:t xml:space="preserve">Ultrasound examination (abdominal) — conducted under supervision of Doctor General Practitioner</w:t>
            </w:r>
          </w:p>
        </w:tc>
        <w:tc>
          <w:tcPr/>
          <w:p>
            <w:pPr>
              <w:pStyle w:val="Compact"/>
              <w:jc w:val="left"/>
            </w:pPr>
            <w:r>
              <w:t xml:space="preserve">GO 27.1</w:t>
            </w:r>
          </w:p>
        </w:tc>
        <w:tc>
          <w:tcPr/>
          <w:p>
            <w:pPr>
              <w:pStyle w:val="Compact"/>
              <w:jc w:val="left"/>
            </w:pPr>
            <w:r>
              <w:t xml:space="preserve">2.3×</w:t>
            </w:r>
          </w:p>
        </w:tc>
        <w:tc>
          <w:tcPr/>
          <w:p>
            <w:pPr>
              <w:pStyle w:val="Compact"/>
              <w:jc w:val="left"/>
            </w:pPr>
            <w:r>
              <w:t xml:space="preserve">€ 112.30</w:t>
            </w:r>
          </w:p>
        </w:tc>
      </w:tr>
      <w:tr>
        <w:tc>
          <w:tcPr/>
          <w:p>
            <w:pPr>
              <w:pStyle w:val="Compact"/>
              <w:jc w:val="left"/>
            </w:pPr>
            <w:r>
              <w:t xml:space="preserve">06</w:t>
            </w:r>
          </w:p>
        </w:tc>
        <w:tc>
          <w:tcPr/>
          <w:p>
            <w:pPr>
              <w:pStyle w:val="Compact"/>
              <w:jc w:val="left"/>
            </w:pPr>
            <w:r>
              <w:t xml:space="preserve">Prescription of pharmaceuticals — initial dispensing and follow-up supply (estimated 3-month course)</w:t>
            </w:r>
          </w:p>
        </w:tc>
        <w:tc>
          <w:tcPr/>
          <w:p>
            <w:pPr>
              <w:pStyle w:val="Compact"/>
              <w:jc w:val="left"/>
            </w:pPr>
            <w:r>
              <w:t xml:space="preserve">GO 34</w:t>
            </w:r>
          </w:p>
        </w:tc>
        <w:tc>
          <w:tcPr/>
          <w:p>
            <w:pPr>
              <w:pStyle w:val="Compact"/>
              <w:jc w:val="left"/>
            </w:pPr>
            <w:r>
              <w:t xml:space="preserve">2.3×</w:t>
            </w:r>
          </w:p>
        </w:tc>
        <w:tc>
          <w:tcPr/>
          <w:p>
            <w:pPr>
              <w:pStyle w:val="Compact"/>
              <w:jc w:val="left"/>
            </w:pPr>
            <w:r>
              <w:t xml:space="preserve">€ 47.60</w:t>
            </w:r>
          </w:p>
        </w:tc>
      </w:tr>
      <w:tr>
        <w:tc>
          <w:tcPr/>
          <w:p>
            <w:pPr>
              <w:pStyle w:val="Compact"/>
              <w:jc w:val="left"/>
            </w:pPr>
            <w:r>
              <w:t xml:space="preserve">07</w:t>
            </w:r>
          </w:p>
        </w:tc>
        <w:tc>
          <w:tcPr/>
          <w:p>
            <w:pPr>
              <w:pStyle w:val="Compact"/>
              <w:jc w:val="left"/>
            </w:pPr>
            <w:r>
              <w:t xml:space="preserve">Referral letter to specialist (cardiology / gastroenterology) — prepared by Doctor General Practitioner, Munich, Germany</w:t>
            </w:r>
          </w:p>
        </w:tc>
        <w:tc>
          <w:tcPr/>
          <w:p>
            <w:pPr>
              <w:pStyle w:val="Compact"/>
              <w:jc w:val="left"/>
            </w:pPr>
            <w:r>
              <w:t xml:space="preserve">GO 35</w:t>
            </w:r>
          </w:p>
        </w:tc>
        <w:tc>
          <w:tcPr/>
          <w:p>
            <w:pPr>
              <w:pStyle w:val="Compact"/>
              <w:jc w:val="left"/>
            </w:pPr>
            <w:r>
              <w:t xml:space="preserve">2.3×</w:t>
            </w:r>
          </w:p>
        </w:tc>
        <w:tc>
          <w:tcPr/>
          <w:p>
            <w:pPr>
              <w:pStyle w:val="Compact"/>
              <w:jc w:val="left"/>
            </w:pPr>
            <w:r>
              <w:t xml:space="preserve">€ 38.40</w:t>
            </w:r>
          </w:p>
        </w:tc>
      </w:tr>
      <w:tr>
        <w:tc>
          <w:tcPr/>
          <w:p>
            <w:pPr>
              <w:pStyle w:val="Compact"/>
              <w:jc w:val="left"/>
            </w:pPr>
            <w:r>
              <w:t xml:space="preserve">08</w:t>
            </w:r>
          </w:p>
        </w:tc>
        <w:tc>
          <w:tcPr/>
          <w:p>
            <w:pPr>
              <w:pStyle w:val="Compact"/>
              <w:jc w:val="left"/>
            </w:pPr>
            <w:r>
              <w:t xml:space="preserve">Home visit by Doctor General Practitioner — within Munich city limits (up to 10 km radius)</w:t>
            </w:r>
          </w:p>
        </w:tc>
        <w:tc>
          <w:tcPr/>
          <w:p>
            <w:pPr>
              <w:pStyle w:val="Compact"/>
              <w:jc w:val="left"/>
            </w:pPr>
            <w:r>
              <w:t xml:space="preserve">GO 36</w:t>
            </w:r>
          </w:p>
        </w:tc>
        <w:tc>
          <w:tcPr/>
          <w:p>
            <w:pPr>
              <w:pStyle w:val="Compact"/>
              <w:jc w:val="left"/>
            </w:pPr>
            <w:r>
              <w:t xml:space="preserve">2.3×</w:t>
            </w:r>
          </w:p>
        </w:tc>
        <w:tc>
          <w:tcPr/>
          <w:p>
            <w:pPr>
              <w:pStyle w:val="Compact"/>
              <w:jc w:val="left"/>
            </w:pPr>
            <w:r>
              <w:t xml:space="preserve">€ 96.20</w:t>
            </w:r>
          </w:p>
        </w:tc>
      </w:tr>
      <w:tr>
        <w:tc>
          <w:tcPr/>
          <w:p>
            <w:pPr>
              <w:pStyle w:val="Compact"/>
              <w:jc w:val="left"/>
            </w:pPr>
            <w:r>
              <w:t xml:space="preserve">09</w:t>
            </w:r>
          </w:p>
        </w:tc>
        <w:tc>
          <w:tcPr/>
          <w:p>
            <w:pPr>
              <w:pStyle w:val="Compact"/>
              <w:jc w:val="left"/>
            </w:pPr>
            <w:r>
              <w:t xml:space="preserve">Medical report / certificate (Arbeitsunfähigkeitsbescheinigung) — issued by Doctor General Practitioner</w:t>
            </w:r>
          </w:p>
        </w:tc>
        <w:tc>
          <w:tcPr/>
          <w:p>
            <w:pPr>
              <w:pStyle w:val="Compact"/>
              <w:jc w:val="left"/>
            </w:pPr>
            <w:r>
              <w:t xml:space="preserve">GO 37</w:t>
            </w:r>
          </w:p>
        </w:tc>
        <w:tc>
          <w:tcPr/>
          <w:p>
            <w:pPr>
              <w:pStyle w:val="Compact"/>
              <w:jc w:val="left"/>
            </w:pPr>
            <w:r>
              <w:t xml:space="preserve">2.3×</w:t>
            </w:r>
          </w:p>
        </w:tc>
        <w:tc>
          <w:tcPr/>
          <w:p>
            <w:pPr>
              <w:pStyle w:val="Compact"/>
              <w:jc w:val="left"/>
            </w:pPr>
            <w:r>
              <w:t xml:space="preserve">€ 29.50</w:t>
            </w:r>
          </w:p>
        </w:tc>
      </w:tr>
      <w:tr>
        <w:tc>
          <w:tcPr/>
          <w:p>
            <w:pPr>
              <w:pStyle w:val="Compact"/>
              <w:jc w:val="left"/>
            </w:pPr>
            <w:r>
              <w:t xml:space="preserve">10</w:t>
            </w:r>
          </w:p>
        </w:tc>
        <w:tc>
          <w:tcPr/>
          <w:p>
            <w:pPr>
              <w:pStyle w:val="Compact"/>
              <w:jc w:val="left"/>
            </w:pPr>
            <w:r>
              <w:t xml:space="preserve">Administrative and documentation fees — patient file management, electronic health record (ePA) updates, insurance correspondence in Germany</w:t>
            </w:r>
          </w:p>
        </w:tc>
        <w:tc>
          <w:tcPr/>
          <w:p>
            <w:pPr>
              <w:pStyle w:val="Compact"/>
              <w:jc w:val="left"/>
            </w:pPr>
            <w:r>
              <w:t xml:space="preserve">GO 40</w:t>
            </w:r>
          </w:p>
        </w:tc>
        <w:tc>
          <w:tcPr/>
          <w:p>
            <w:pPr>
              <w:pStyle w:val="Compact"/>
              <w:jc w:val="left"/>
            </w:pPr>
            <w:r>
              <w:t xml:space="preserve">2.3×</w:t>
            </w:r>
          </w:p>
        </w:tc>
        <w:tc>
          <w:tcPr/>
          <w:p>
            <w:pPr>
              <w:pStyle w:val="Compact"/>
              <w:jc w:val="left"/>
            </w:pPr>
            <w:r>
              <w:t xml:space="preserve">€ 22.00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01–10)</w:t>
            </w:r>
          </w:p>
        </w:tc>
        <w:tc>
          <w:tcPr/>
          <w:p>
            <w:pPr>
              <w:pStyle w:val="Compact"/>
              <w:jc w:val="left"/>
            </w:pPr>
            <w:r>
              <w:t xml:space="preserve">€ 767.00</w:t>
            </w:r>
          </w:p>
        </w:tc>
      </w:tr>
      <w:tr>
        <w:tc>
          <w:tcPr/>
          <w:p>
            <w:pPr>
              <w:pStyle w:val="Compact"/>
              <w:jc w:val="left"/>
            </w:pPr>
            <w:r>
              <w:t xml:space="preserve">VAT (19% — German standard rate)</w:t>
            </w:r>
          </w:p>
        </w:tc>
        <w:tc>
          <w:tcPr/>
          <w:p>
            <w:pPr>
              <w:pStyle w:val="Compact"/>
              <w:jc w:val="left"/>
            </w:pPr>
            <w:r>
              <w:t xml:space="preserve">€ 145.73</w:t>
            </w:r>
          </w:p>
        </w:tc>
      </w:tr>
      <w:tr>
        <w:tc>
          <w:tcPr/>
          <w:p>
            <w:pPr>
              <w:pStyle w:val="Compact"/>
              <w:jc w:val="left"/>
            </w:pPr>
            <w:r>
              <w:t xml:space="preserve">Grand Total — Quotation Estimate</w:t>
            </w:r>
          </w:p>
        </w:tc>
        <w:tc>
          <w:tcPr/>
          <w:p>
            <w:pPr>
              <w:pStyle w:val="Compact"/>
              <w:jc w:val="left"/>
            </w:pPr>
            <w:r>
              <w:t xml:space="preserve">€ 912.73</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issued by the Doctor General Practitioner at Praxis Dr. Bauer &amp; Kollegen, located in Munich, Germany, and is valid for 30 calendar days from the date of issue.</w:t>
      </w:r>
    </w:p>
    <w:p>
      <w:pPr>
        <w:numPr>
          <w:ilvl w:val="0"/>
          <w:numId w:val="1001"/>
        </w:numPr>
        <w:pStyle w:val="Compact"/>
      </w:pPr>
      <w:r>
        <w:t xml:space="preserve">All medical services described herein are to be performed in accordance with the German Medical Professional Act and the standards set by the Bavarian State Medical Chamber (Bayerische Landesärztekammer).</w:t>
      </w:r>
    </w:p>
    <w:p>
      <w:pPr>
        <w:numPr>
          <w:ilvl w:val="0"/>
          <w:numId w:val="1001"/>
        </w:numPr>
        <w:pStyle w:val="Compact"/>
      </w:pPr>
      <w:r>
        <w:t xml:space="preserve">The Doctor General Practitioner reserves the right to adjust the scope of services if the clinical assessment in Munich, Germany, necessitates additional or alternative procedures. Any such changes will be communicated to the patient or insurer prior to execution.</w:t>
      </w:r>
    </w:p>
    <w:p>
      <w:pPr>
        <w:numPr>
          <w:ilvl w:val="0"/>
          <w:numId w:val="1001"/>
        </w:numPr>
        <w:pStyle w:val="Compact"/>
      </w:pPr>
      <w:r>
        <w:t xml:space="preserve">Payment is due within 14 days of the final invoice. For statutory health insurance (GKV) patients in Germany, the Doctor General Practitioner will bill the respective Krankenkasse directly; this Quotation Estimate applies to private health insurance (PKV) or self-pay patients.</w:t>
      </w:r>
    </w:p>
    <w:p>
      <w:pPr>
        <w:numPr>
          <w:ilvl w:val="0"/>
          <w:numId w:val="1001"/>
        </w:numPr>
        <w:pStyle w:val="Compact"/>
      </w:pPr>
      <w:r>
        <w:t xml:space="preserve">This Quotation Estimate does not constitute a binding treatment contract. The Doctor General Practitioner in Munich, Germany, will provide a separate informed consent form prior to any invasive procedure.</w:t>
      </w:r>
    </w:p>
    <w:p>
      <w:pPr>
        <w:numPr>
          <w:ilvl w:val="0"/>
          <w:numId w:val="1001"/>
        </w:numPr>
        <w:pStyle w:val="Compact"/>
      </w:pPr>
      <w:r>
        <w:t xml:space="preserve">All patient data processed under this Quotation Estimate is handled in strict compliance with the German Federal Data Protection Act (BDSG) and the EU General Data Protection Regulation (GDPR).</w:t>
      </w:r>
    </w:p>
    <w:p>
      <w:pPr>
        <w:numPr>
          <w:ilvl w:val="0"/>
          <w:numId w:val="1001"/>
        </w:numPr>
        <w:pStyle w:val="Compact"/>
      </w:pPr>
      <w:r>
        <w:t xml:space="preserve">Any disputes arising from services rendered under this Quotation Estimate shall be governed by the laws of the Federal Republic of Germany, with jurisdiction in Munich, Bavaria.</w:t>
      </w:r>
    </w:p>
    <w:bookmarkEnd w:id="23"/>
    <w:p>
      <w:pPr>
        <w:pStyle w:val="FirstParagraph"/>
      </w:pPr>
      <w:r>
        <w:rPr>
          <w:bCs/>
          <w:b/>
        </w:rPr>
        <w:t xml:space="preserve">Issued by:</w:t>
      </w:r>
    </w:p>
    <w:p>
      <w:pPr>
        <w:pStyle w:val="BodyText"/>
      </w:pPr>
      <w:r>
        <w:t xml:space="preserve">Dr. med. Heinrich Bauer</w:t>
      </w:r>
      <w:r>
        <w:br/>
      </w:r>
      <w:r>
        <w:t xml:space="preserve">Doctor General Practitioner</w:t>
      </w:r>
      <w:r>
        <w:br/>
      </w:r>
      <w:r>
        <w:t xml:space="preserve">Praxis Dr. Bauer &amp; Kollegen, Munich, Germany</w:t>
      </w:r>
    </w:p>
    <w:p>
      <w:pPr>
        <w:pStyle w:val="BodyText"/>
      </w:pPr>
      <w:r>
        <w:rPr>
          <w:bCs/>
          <w:b/>
        </w:rPr>
        <w:t xml:space="preserve">Accepted by (Patient / Insurer):</w:t>
      </w:r>
    </w:p>
    <w:p>
      <w:pPr>
        <w:pStyle w:val="BodyText"/>
      </w:pPr>
      <w:r>
        <w:t xml:space="preserve">Name &amp; Signature</w:t>
      </w:r>
      <w:r>
        <w:br/>
      </w:r>
      <w:r>
        <w:t xml:space="preserve">Date</w:t>
      </w:r>
    </w:p>
    <w:p>
      <w:pPr>
        <w:pStyle w:val="BodyText"/>
      </w:pPr>
      <w:r>
        <w:t xml:space="preserve">Quotation Estimate QE-2025-04871 — Doctor General Practitioner Services — Munich, Germany</w:t>
      </w:r>
      <w:r>
        <w:br/>
      </w:r>
      <w:r>
        <w:t xml:space="preserve">Praxis Dr. Bauer &amp; Kollegen | Leopoldstrasse 142, 80802 Munich, Germany | Tel: +49 89 555 0142</w:t>
      </w:r>
      <w:r>
        <w:br/>
      </w:r>
      <w:r>
        <w:t xml:space="preserve">This document is generated in accordance with German medical billing standards. For questions regarding this Quotation Estimate, please contact the practice office in Munich, Germany.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Munich, Germany</dc:title>
  <dc:creator/>
  <dc:language>en</dc:language>
  <cp:keywords/>
  <dcterms:created xsi:type="dcterms:W3CDTF">2026-10-10T06:56:35Z</dcterms:created>
  <dcterms:modified xsi:type="dcterms:W3CDTF">2026-10-10T06:56:35Z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