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doctor-general-practitioner-services"/>
    <w:p>
      <w:pPr>
        <w:pStyle w:val="Heading2"/>
      </w:pPr>
      <w:r>
        <w:t xml:space="preserve">Doctor General Practitioner Services</w:t>
      </w:r>
    </w:p>
    <w:p>
      <w:pPr>
        <w:pStyle w:val="FirstParagraph"/>
      </w:pPr>
      <w:r>
        <w:rPr>
          <w:bCs/>
          <w:b/>
        </w:rPr>
        <w:t xml:space="preserve">Medical Center of Alborz</w:t>
      </w:r>
    </w:p>
    <w:p>
      <w:pPr>
        <w:pStyle w:val="BodyText"/>
      </w:pPr>
      <w:r>
        <w:t xml:space="preserve">Address: Valiasr Street, District 1, Tehran, Iran</w:t>
      </w:r>
    </w:p>
    <w:p>
      <w:pPr>
        <w:pStyle w:val="BodyText"/>
      </w:pPr>
      <w:r>
        <w:t xml:space="preserve">Phone: +98-21-8876-5432 | Email: info@alborzmedical.ir</w:t>
      </w:r>
    </w:p>
    <w:p>
      <w:pPr>
        <w:pStyle w:val="BodyText"/>
      </w:pPr>
      <w:r>
        <w:t xml:space="preserve">License No. 1402-IR-TEH-00457 | Ministry of Health and Medical Education, Iran</w:t>
      </w:r>
    </w:p>
    <w:bookmarkEnd w:id="20"/>
    <w:bookmarkEnd w:id="21"/>
    <w:p>
      <w:pPr>
        <w:pStyle w:val="BodyText"/>
      </w:pPr>
      <w:r>
        <w:rPr>
          <w:bCs/>
          <w:b/>
        </w:rPr>
        <w:t xml:space="preserve">Quotation Estimate No.:</w:t>
      </w:r>
      <w:r>
        <w:t xml:space="preserve"> </w:t>
      </w:r>
      <w:r>
        <w:t xml:space="preserve">QE-2025-TEH-03847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[Client / Organization Name]</w:t>
      </w:r>
    </w:p>
    <w:p>
      <w:pPr>
        <w:pStyle w:val="BodyText"/>
      </w:pPr>
      <w:r>
        <w:rPr>
          <w:bCs/>
          <w:b/>
        </w:rPr>
        <w:t xml:space="preserve">Contact Person:</w:t>
      </w:r>
      <w:r>
        <w:t xml:space="preserve"> </w:t>
      </w:r>
      <w:r>
        <w:t xml:space="preserve">[Name]</w:t>
      </w:r>
    </w:p>
    <w:p>
      <w:pPr>
        <w:pStyle w:val="BodyText"/>
      </w:pPr>
      <w:r>
        <w:rPr>
          <w:bCs/>
          <w:b/>
        </w:rPr>
        <w:t xml:space="preserve">Location of Service:</w:t>
      </w:r>
      <w:r>
        <w:t xml:space="preserve"> </w:t>
      </w:r>
      <w:r>
        <w:t xml:space="preserve">Iran Tehran</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Medical Center of Alborz, a licensed healthcare facility operating in</w:t>
      </w:r>
      <w:r>
        <w:t xml:space="preserve"> </w:t>
      </w:r>
      <w:r>
        <w:t xml:space="preserve">Iran Tehran</w:t>
      </w:r>
      <w:r>
        <w:t xml:space="preserve">, to provide a comprehensive and transparent cost breakdown for the engagement of a</w:t>
      </w:r>
      <w:r>
        <w:t xml:space="preserve"> </w:t>
      </w:r>
      <w:r>
        <w:t xml:space="preserve">Doctor General Practitioner</w:t>
      </w:r>
      <w:r>
        <w:t xml:space="preserve"> </w:t>
      </w:r>
      <w:r>
        <w:t xml:space="preserve">(GP) for ongoing primary healthcare services. This document serves as a formal financial proposal and does not constitute a binding contract until both parties have reviewed, agreed upon, and executed the final service agreement in accordance with the regulations of the Iranian Ministry of Health and Medical Education.</w:t>
      </w:r>
    </w:p>
    <w:p>
      <w:pPr>
        <w:pStyle w:val="BodyText"/>
      </w:pPr>
      <w:r>
        <w:t xml:space="preserve">The</w:t>
      </w:r>
      <w:r>
        <w:t xml:space="preserve"> </w:t>
      </w:r>
      <w:r>
        <w:t xml:space="preserve">Doctor General Practitioner</w:t>
      </w:r>
      <w:r>
        <w:t xml:space="preserve"> </w:t>
      </w:r>
      <w:r>
        <w:t xml:space="preserve">referenced in this</w:t>
      </w:r>
      <w:r>
        <w:t xml:space="preserve"> </w:t>
      </w:r>
      <w:r>
        <w:t xml:space="preserve">Quotation Estimate</w:t>
      </w:r>
      <w:r>
        <w:t xml:space="preserve"> </w:t>
      </w:r>
      <w:r>
        <w:t xml:space="preserve">is a fully licensed medical doctor (M.D.) registered with the Iranian Medical Council, holding a minimum of five years of post-graduate clinical experience in general internal medicine, family medicine, and preventive healthcare. The GP will deliver services in both Persian (Farsi) and English to accommodate the diverse patient population in</w:t>
      </w:r>
      <w:r>
        <w:t xml:space="preserve"> </w:t>
      </w:r>
      <w:r>
        <w:t xml:space="preserve">Iran Tehran</w:t>
      </w:r>
      <w:r>
        <w:t xml:space="preserve">.</w:t>
      </w:r>
    </w:p>
    <w:bookmarkEnd w:id="22"/>
    <w:bookmarkStart w:id="23" w:name="scope-of-services"/>
    <w:p>
      <w:pPr>
        <w:pStyle w:val="Heading3"/>
      </w:pPr>
      <w:r>
        <w:t xml:space="preserve">2. Scope of Services</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Doctor General Practitioner</w:t>
      </w:r>
      <w:r>
        <w:t xml:space="preserve"> </w:t>
      </w:r>
      <w:r>
        <w:t xml:space="preserve">engagement in</w:t>
      </w:r>
      <w:r>
        <w:t xml:space="preserve"> </w:t>
      </w:r>
      <w:r>
        <w:t xml:space="preserve">Iran Tehran</w:t>
      </w:r>
      <w:r>
        <w:t xml:space="preserve">:</w:t>
      </w:r>
    </w:p>
    <w:p>
      <w:pPr>
        <w:numPr>
          <w:ilvl w:val="0"/>
          <w:numId w:val="1001"/>
        </w:numPr>
        <w:pStyle w:val="Compact"/>
      </w:pPr>
      <w:r>
        <w:t xml:space="preserve">Comprehensive initial medical consultations and health assessments (up to 40 patients per week)</w:t>
      </w:r>
    </w:p>
    <w:p>
      <w:pPr>
        <w:numPr>
          <w:ilvl w:val="0"/>
          <w:numId w:val="1001"/>
        </w:numPr>
        <w:pStyle w:val="Compact"/>
      </w:pPr>
      <w:r>
        <w:t xml:space="preserve">Diagnosis and management of acute and chronic conditions including hypertension, diabetes mellitus, respiratory infections, and gastrointestinal disorders</w:t>
      </w:r>
    </w:p>
    <w:p>
      <w:pPr>
        <w:numPr>
          <w:ilvl w:val="0"/>
          <w:numId w:val="1001"/>
        </w:numPr>
        <w:pStyle w:val="Compact"/>
      </w:pPr>
      <w:r>
        <w:t xml:space="preserve">Prescription of medications in compliance with Iranian pharmaceutical regulations and the National Insurance Organization (Bimeh Tamin) guidelines</w:t>
      </w:r>
    </w:p>
    <w:p>
      <w:pPr>
        <w:numPr>
          <w:ilvl w:val="0"/>
          <w:numId w:val="1001"/>
        </w:numPr>
        <w:pStyle w:val="Compact"/>
      </w:pPr>
      <w:r>
        <w:t xml:space="preserve">Preventive health screenings, immunizations, and health education sessions</w:t>
      </w:r>
    </w:p>
    <w:p>
      <w:pPr>
        <w:numPr>
          <w:ilvl w:val="0"/>
          <w:numId w:val="1001"/>
        </w:numPr>
        <w:pStyle w:val="Compact"/>
      </w:pPr>
      <w:r>
        <w:t xml:space="preserve">Referral coordination to specialist departments within hospitals in</w:t>
      </w:r>
      <w:r>
        <w:t xml:space="preserve"> </w:t>
      </w:r>
      <w:r>
        <w:t xml:space="preserve">Iran Tehran</w:t>
      </w:r>
      <w:r>
        <w:t xml:space="preserve"> </w:t>
      </w:r>
      <w:r>
        <w:t xml:space="preserve">(e.g., Imam Khomeini Hospital, Shahid Beheshti Hospital)</w:t>
      </w:r>
    </w:p>
    <w:p>
      <w:pPr>
        <w:numPr>
          <w:ilvl w:val="0"/>
          <w:numId w:val="1001"/>
        </w:numPr>
        <w:pStyle w:val="Compact"/>
      </w:pPr>
      <w:r>
        <w:t xml:space="preserve">Maintenance of patient medical records in accordance with Iranian data protection and medical confidentiality laws</w:t>
      </w:r>
    </w:p>
    <w:p>
      <w:pPr>
        <w:numPr>
          <w:ilvl w:val="0"/>
          <w:numId w:val="1001"/>
        </w:numPr>
        <w:pStyle w:val="Compact"/>
      </w:pPr>
      <w:r>
        <w:t xml:space="preserve">Monthly health reports and summary documentation for the client organization</w:t>
      </w:r>
    </w:p>
    <w:p>
      <w:pPr>
        <w:numPr>
          <w:ilvl w:val="0"/>
          <w:numId w:val="1001"/>
        </w:numPr>
        <w:pStyle w:val="Compact"/>
      </w:pPr>
      <w:r>
        <w:t xml:space="preserve">Emergency triage and first-response guidance for workplace health incidents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(IRR)</w:t>
            </w:r>
          </w:p>
        </w:tc>
        <w:tc>
          <w:tcPr/>
          <w:p>
            <w:pPr>
              <w:pStyle w:val="Compact"/>
              <w:jc w:val="left"/>
            </w:pPr>
            <w:r>
              <w:t xml:space="preserve">Monthly Total (IRR)</w:t>
            </w:r>
          </w:p>
        </w:tc>
      </w:tr>
      <w:tr>
        <w:tc>
          <w:tcPr/>
          <w:p>
            <w:pPr>
              <w:pStyle w:val="Compact"/>
              <w:jc w:val="left"/>
            </w:pPr>
            <w:r>
              <w:t xml:space="preserve">01</w:t>
            </w:r>
          </w:p>
        </w:tc>
        <w:tc>
          <w:tcPr/>
          <w:p>
            <w:pPr>
              <w:pStyle w:val="Compact"/>
              <w:jc w:val="left"/>
            </w:pPr>
            <w:r>
              <w:t xml:space="preserve">Doctor General Practitioner – Professional Consultation Fee (per patient visit, 30 minutes)</w:t>
            </w:r>
          </w:p>
        </w:tc>
        <w:tc>
          <w:tcPr/>
          <w:p>
            <w:pPr>
              <w:pStyle w:val="Compact"/>
              <w:jc w:val="left"/>
            </w:pPr>
            <w:r>
              <w:t xml:space="preserve">40 visits/month</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Doctor General Practitioner – On-Site Clinic Supervision &amp; Administrative Oversight</w:t>
            </w:r>
          </w:p>
        </w:tc>
        <w:tc>
          <w:tcPr/>
          <w:p>
            <w:pPr>
              <w:pStyle w:val="Compact"/>
              <w:jc w:val="left"/>
            </w:pPr>
            <w:r>
              <w:t xml:space="preserve">5 days/week</w:t>
            </w:r>
          </w:p>
        </w:tc>
        <w:tc>
          <w:tcPr/>
          <w:p>
            <w:pPr>
              <w:pStyle w:val="Compact"/>
              <w:jc w:val="left"/>
            </w:pPr>
            <w:r>
              <w:t xml:space="preserve">2,500,000/day</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Preventive Screening Program (blood pressure, blood glucose, BMI, lipid panel)</w:t>
            </w:r>
          </w:p>
        </w:tc>
        <w:tc>
          <w:tcPr/>
          <w:p>
            <w:pPr>
              <w:pStyle w:val="Compact"/>
              <w:jc w:val="left"/>
            </w:pPr>
            <w:r>
              <w:t xml:space="preserve">Monthly batch</w:t>
            </w:r>
          </w:p>
        </w:tc>
        <w:tc>
          <w:tcPr/>
          <w:p>
            <w:pPr>
              <w:pStyle w:val="Compact"/>
              <w:jc w:val="left"/>
            </w:pPr>
            <w:r>
              <w:t xml:space="preserve">1,200,000/patient</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Medical Records Management &amp; Digital Health File Maintenance</w:t>
            </w:r>
          </w:p>
        </w:tc>
        <w:tc>
          <w:tcPr/>
          <w:p>
            <w:pPr>
              <w:pStyle w:val="Compact"/>
              <w:jc w:val="left"/>
            </w:pPr>
            <w:r>
              <w:t xml:space="preserve">Ongoing</w:t>
            </w:r>
          </w:p>
        </w:tc>
        <w:tc>
          <w:tcPr/>
          <w:p>
            <w:pPr>
              <w:pStyle w:val="Compact"/>
              <w:jc w:val="left"/>
            </w:pPr>
            <w:r>
              <w:t xml:space="preserve">—</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Referral Coordination &amp; Specialist Liaison (within Iran Tehran hospitals)</w:t>
            </w:r>
          </w:p>
        </w:tc>
        <w:tc>
          <w:tcPr/>
          <w:p>
            <w:pPr>
              <w:pStyle w:val="Compact"/>
              <w:jc w:val="left"/>
            </w:pPr>
            <w:r>
              <w:t xml:space="preserve">As needed</w:t>
            </w:r>
          </w:p>
        </w:tc>
        <w:tc>
          <w:tcPr/>
          <w:p>
            <w:pPr>
              <w:pStyle w:val="Compact"/>
              <w:jc w:val="left"/>
            </w:pPr>
            <w:r>
              <w:t xml:space="preserve">500,000/referral</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Monthly Health Report Preparation &amp; Presentation</w:t>
            </w:r>
          </w:p>
        </w:tc>
        <w:tc>
          <w:tcPr/>
          <w:p>
            <w:pPr>
              <w:pStyle w:val="Compact"/>
              <w:jc w:val="left"/>
            </w:pPr>
            <w:r>
              <w:t xml:space="preserve">1 report/month</w:t>
            </w:r>
          </w:p>
        </w:tc>
        <w:tc>
          <w:tcPr/>
          <w:p>
            <w:pPr>
              <w:pStyle w:val="Compact"/>
              <w:jc w:val="left"/>
            </w:pPr>
            <w:r>
              <w:t xml:space="preserve">—</w:t>
            </w:r>
          </w:p>
        </w:tc>
        <w:tc>
          <w:tcPr/>
          <w:p>
            <w:pPr>
              <w:pStyle w:val="Compact"/>
              <w:jc w:val="left"/>
            </w:pPr>
            <w:r>
              <w:t xml:space="preserve">5,000,000</w:t>
            </w:r>
          </w:p>
        </w:tc>
      </w:tr>
      <w:tr>
        <w:tc>
          <w:tcPr/>
          <w:p>
            <w:pPr>
              <w:pStyle w:val="Compact"/>
              <w:jc w:val="left"/>
            </w:pPr>
            <w:r>
              <w:t xml:space="preserve">07</w:t>
            </w:r>
          </w:p>
        </w:tc>
        <w:tc>
          <w:tcPr/>
          <w:p>
            <w:pPr>
              <w:pStyle w:val="Compact"/>
              <w:jc w:val="left"/>
            </w:pPr>
            <w:r>
              <w:t xml:space="preserve">Emergency Triage &amp; First-Response On-Call Duty (24/7 coverage)</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15,000,000</w:t>
            </w:r>
          </w:p>
        </w:tc>
      </w:tr>
      <w:tr>
        <w:tc>
          <w:tcPr>
            <w:gridSpan w:val="4"/>
          </w:tcPr>
          <w:p>
            <w:pPr>
              <w:pStyle w:val="Compact"/>
              <w:jc w:val="left"/>
            </w:pPr>
            <w:r>
              <w:rPr>
                <w:bCs/>
                <w:b/>
              </w:rPr>
              <w:t xml:space="preserve">GRAND TOTAL – MONTHLY (Quotation Estimate)</w:t>
            </w:r>
          </w:p>
        </w:tc>
        <w:tc>
          <w:tcPr/>
          <w:p>
            <w:pPr>
              <w:pStyle w:val="Compact"/>
              <w:jc w:val="left"/>
            </w:pPr>
            <w:r>
              <w:rPr>
                <w:bCs/>
                <w:b/>
              </w:rPr>
              <w:t xml:space="preserve">172,000,000 IRR</w:t>
            </w:r>
          </w:p>
        </w:tc>
      </w:tr>
      <w:tr>
        <w:tc>
          <w:tcPr>
            <w:gridSpan w:val="4"/>
          </w:tcPr>
          <w:p>
            <w:pPr>
              <w:pStyle w:val="Compact"/>
              <w:jc w:val="left"/>
            </w:pPr>
            <w:r>
              <w:rPr>
                <w:bCs/>
                <w:b/>
              </w:rPr>
              <w:t xml:space="preserve">ANNUALIZED TOTAL (12 months)</w:t>
            </w:r>
          </w:p>
        </w:tc>
        <w:tc>
          <w:tcPr/>
          <w:p>
            <w:pPr>
              <w:pStyle w:val="Compact"/>
              <w:jc w:val="left"/>
            </w:pPr>
            <w:r>
              <w:rPr>
                <w:bCs/>
                <w:b/>
              </w:rPr>
              <w:t xml:space="preserve">2,064,000,000 IRR</w:t>
            </w:r>
          </w:p>
        </w:tc>
      </w:tr>
    </w:tbl>
    <w:p>
      <w:pPr>
        <w:pStyle w:val="BodyText"/>
      </w:pPr>
      <w:r>
        <w:rPr>
          <w:bCs/>
          <w:b/>
        </w:rPr>
        <w:t xml:space="preserve">Note:</w:t>
      </w:r>
      <w:r>
        <w:t xml:space="preserve"> </w:t>
      </w:r>
      <w:r>
        <w:t xml:space="preserve">All prices in this Quotation Estimate are denominated in Iranian Rial (IRR) and are subject to the prevailing exchange rate and inflation adjustments as published by the Central Bank of Iran. Prices do not include Value Added Tax (VAT) where applicable under Iranian tax law. The Doctor General Practitioner's professional license fee and mandatory malpractice insurance are included in the above totals.</w:t>
      </w:r>
    </w:p>
    <w:bookmarkEnd w:id="24"/>
    <w:bookmarkStart w:id="25" w:name="terms-and-conditions"/>
    <w:p>
      <w:pPr>
        <w:pStyle w:val="Heading3"/>
      </w:pPr>
      <w:r>
        <w:t xml:space="preserve">4. Terms and Conditions</w:t>
      </w:r>
    </w:p>
    <w:p>
      <w:pPr>
        <w:pStyle w:val="FirstParagraph"/>
      </w:pPr>
      <w:r>
        <w:rPr>
          <w:bCs/>
          <w:b/>
        </w:rPr>
        <w:t xml:space="preserve">4.1 Validity:</w:t>
      </w:r>
      <w:r>
        <w:t xml:space="preserve"> </w:t>
      </w:r>
      <w:r>
        <w:t xml:space="preserve">This Quotation Estimate is valid for a period of thirty (30) calendar days from the date of issue. Beyond this period, the Medical Center of Alborz reserves the right to revise pricing due to changes in the Iranian healthcare market, pharmaceutical costs, or regulatory updates in Iran Tehran.</w:t>
      </w:r>
    </w:p>
    <w:p>
      <w:pPr>
        <w:pStyle w:val="BodyText"/>
      </w:pPr>
      <w:r>
        <w:rPr>
          <w:bCs/>
          <w:b/>
        </w:rPr>
        <w:t xml:space="preserve">4.2 Payment Terms:</w:t>
      </w:r>
      <w:r>
        <w:t xml:space="preserve"> </w:t>
      </w:r>
      <w:r>
        <w:t xml:space="preserve">Payment shall be made in monthly installments within fifteen (15) business days of the invoice date via bank transfer to the designated account of the Medical Center of Alborz, Tehran, Iran. Late payments shall incur a penalty of 2% per month as per Iranian commercial law.</w:t>
      </w:r>
    </w:p>
    <w:p>
      <w:pPr>
        <w:pStyle w:val="BodyText"/>
      </w:pPr>
      <w:r>
        <w:rPr>
          <w:bCs/>
          <w:b/>
        </w:rPr>
        <w:t xml:space="preserve">4.3 Service Duration:</w:t>
      </w:r>
      <w:r>
        <w:t xml:space="preserve"> </w:t>
      </w:r>
      <w:r>
        <w:t xml:space="preserve">The engagement of the Doctor General Practitioner under this Quotation Estimate is proposed for an initial term of twelve (12) months, renewable upon mutual written agreement of both parties.</w:t>
      </w:r>
    </w:p>
    <w:p>
      <w:pPr>
        <w:pStyle w:val="BodyText"/>
      </w:pPr>
      <w:r>
        <w:rPr>
          <w:bCs/>
          <w:b/>
        </w:rPr>
        <w:t xml:space="preserve">4.4 Cancellation Policy:</w:t>
      </w:r>
      <w:r>
        <w:t xml:space="preserve"> </w:t>
      </w:r>
      <w:r>
        <w:t xml:space="preserve">Either party may terminate the service agreement with a written notice of thirty (30) days. In the event of early termination by the client, a cancellation fee equivalent to one month's service fee shall apply.</w:t>
      </w:r>
    </w:p>
    <w:p>
      <w:pPr>
        <w:pStyle w:val="BodyText"/>
      </w:pPr>
      <w:r>
        <w:rPr>
          <w:bCs/>
          <w:b/>
        </w:rPr>
        <w:t xml:space="preserve">4.5 Regulatory Compliance:</w:t>
      </w:r>
      <w:r>
        <w:t xml:space="preserve"> </w:t>
      </w:r>
      <w:r>
        <w:t xml:space="preserve">All services rendered by the Doctor General Practitioner shall comply with the standards set by the Iranian Ministry of Health and Medical Education, the Iranian Medical Council, and the National Insurance Organization. The facility in Iran Tehran operates under a valid medical practice license.</w:t>
      </w:r>
    </w:p>
    <w:p>
      <w:pPr>
        <w:pStyle w:val="BodyText"/>
      </w:pPr>
      <w:r>
        <w:rPr>
          <w:bCs/>
          <w:b/>
        </w:rPr>
        <w:t xml:space="preserve">4.6 Confidentiality:</w:t>
      </w:r>
      <w:r>
        <w:t xml:space="preserve"> </w:t>
      </w:r>
      <w:r>
        <w:t xml:space="preserve">All patient data and medical records shall be handled in strict accordance with Iranian medical confidentiality regulations. No patient information shall be disclosed to third parties without written consent.</w:t>
      </w:r>
    </w:p>
    <w:p>
      <w:pPr>
        <w:pStyle w:val="BodyText"/>
      </w:pPr>
      <w:r>
        <w:rPr>
          <w:bCs/>
          <w:b/>
        </w:rPr>
        <w:t xml:space="preserve">4.7 Force Majeure:</w:t>
      </w:r>
      <w:r>
        <w:t xml:space="preserve"> </w:t>
      </w:r>
      <w:r>
        <w:t xml:space="preserve">Neither party shall be held liable for failure to perform obligations due to events beyond reasonable control, including but not limited to natural disasters, government-imposed restrictions, or public health emergencies affecting operations in Iran Tehran.</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that they have read, understood, and agree to the terms outlined in this Quotation Estimate for the Doctor General Practitioner services to be delivered in Iran Tehran. This document, once countersigned, shall serve as the basis for the formal Service Level Agreement (SLA) to be executed within ten (10) business days.</w:t>
      </w:r>
    </w:p>
    <w:p>
      <w:pPr>
        <w:pStyle w:val="BodyText"/>
      </w:pPr>
      <w:r>
        <w:rPr>
          <w:bCs/>
          <w:b/>
        </w:rPr>
        <w:t xml:space="preserve">For: Medical Center of Alborz</w:t>
      </w:r>
      <w:r>
        <w:br/>
      </w:r>
      <w:r>
        <w:t xml:space="preserve">Name: Dr. [Full Name], M.D.</w:t>
      </w:r>
      <w:r>
        <w:br/>
      </w:r>
      <w:r>
        <w:t xml:space="preserve">Title: Chief Medical Officer / Doctor General Practitioner</w:t>
      </w:r>
      <w:r>
        <w:br/>
      </w:r>
      <w:r>
        <w:t xml:space="preserve">Signature: _________________________</w:t>
      </w:r>
      <w:r>
        <w:br/>
      </w:r>
      <w:r>
        <w:t xml:space="preserve">Date: _________________________</w:t>
      </w:r>
    </w:p>
    <w:p>
      <w:pPr>
        <w:pStyle w:val="BodyText"/>
      </w:pPr>
      <w:r>
        <w:rPr>
          <w:bCs/>
          <w:b/>
        </w:rPr>
        <w:t xml:space="preserve">For: Client / Organization</w:t>
      </w:r>
      <w:r>
        <w:br/>
      </w:r>
      <w:r>
        <w:t xml:space="preserve">Name: [Full Name]</w:t>
      </w:r>
      <w:r>
        <w:br/>
      </w:r>
      <w:r>
        <w:t xml:space="preserve">Title: [Position]</w:t>
      </w:r>
      <w:r>
        <w:br/>
      </w:r>
      <w:r>
        <w:t xml:space="preserve">Signature: _________________________</w:t>
      </w:r>
      <w:r>
        <w:br/>
      </w:r>
      <w:r>
        <w:t xml:space="preserve">Date: _________________________</w:t>
      </w:r>
    </w:p>
    <w:p>
      <w:pPr>
        <w:pStyle w:val="BodyText"/>
      </w:pPr>
      <w:r>
        <w:t xml:space="preserve">This Quotation Estimate (QE-2025-TEH-03847) was prepared by the Medical Center of Alborz, Tehran, Iran. All services are provided by a licensed Doctor General Practitioner in compliance with Iranian healthcare regulations. For inquiries, please contact our office at Valiasr Street, District 1, Iran Tehran, or via email at info@alborzmedical.ir.</w:t>
      </w:r>
    </w:p>
    <w:p>
      <w:pPr>
        <w:pStyle w:val="BodyText"/>
      </w:pPr>
      <w:r>
        <w:t xml:space="preserve">© 2025 Medical Center of Alborz.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Iran Tehran</dc:title>
  <dc:creator/>
  <dc:language>en</dc:language>
  <cp:keywords/>
  <dcterms:created xsi:type="dcterms:W3CDTF">2026-10-10T05:45:31Z</dcterms:created>
  <dcterms:modified xsi:type="dcterms:W3CDTF">2026-10-10T05:45:31Z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