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Doctor General Practitioner Services | Japan Tokyo</w:t>
      </w:r>
    </w:p>
    <w:p>
      <w:pPr>
        <w:pStyle w:val="BodyText"/>
      </w:pPr>
      <w:r>
        <w:t xml:space="preserve">Shinjuku Medical &amp; Wellness Clinic, 2-14-8 Nishi-Shinjuku, Shinjuku-ku, Tokyo 160-0023, Japan</w:t>
      </w:r>
    </w:p>
    <w:p>
      <w:pPr>
        <w:pStyle w:val="BodyText"/>
      </w:pPr>
      <w:r>
        <w:t xml:space="preserve">Tel: +81-3-5272-8800 | Email: estimates@shinjuku-gp-clinic.jp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QTE-2025-TKY-04782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Mr. Kenji Tanaka – Tanaka Family Health Management</w:t>
            </w:r>
          </w:p>
        </w:tc>
      </w:tr>
      <w:tr>
        <w:tc>
          <w:tcPr/>
          <w:p>
            <w:pPr>
              <w:pStyle w:val="Compact"/>
              <w:jc w:val="left"/>
            </w:pPr>
            <w:r>
              <w:t xml:space="preserve">Client Address</w:t>
            </w:r>
          </w:p>
        </w:tc>
        <w:tc>
          <w:tcPr/>
          <w:p>
            <w:pPr>
              <w:pStyle w:val="Compact"/>
              <w:jc w:val="left"/>
            </w:pPr>
            <w:r>
              <w:t xml:space="preserve">4-7-2 Roppongi, Minato-ku, Tokyo 106-0032, Japan</w:t>
            </w:r>
          </w:p>
        </w:tc>
      </w:tr>
      <w:tr>
        <w:tc>
          <w:tcPr/>
          <w:p>
            <w:pPr>
              <w:pStyle w:val="Compact"/>
              <w:jc w:val="left"/>
            </w:pPr>
            <w:r>
              <w:t xml:space="preserve">Service Provider</w:t>
            </w:r>
          </w:p>
        </w:tc>
        <w:tc>
          <w:tcPr/>
          <w:p>
            <w:pPr>
              <w:pStyle w:val="Compact"/>
              <w:jc w:val="left"/>
            </w:pPr>
            <w:r>
              <w:t xml:space="preserve">Dr. Yuki Hamada, M.D. – Doctor General Practitioner, Shinjuku Medical &amp; Wellness Clinic</w:t>
            </w:r>
          </w:p>
        </w:tc>
      </w:tr>
      <w:tr>
        <w:tc>
          <w:tcPr/>
          <w:p>
            <w:pPr>
              <w:pStyle w:val="Compact"/>
              <w:jc w:val="left"/>
            </w:pPr>
            <w:r>
              <w:t xml:space="preserve">Licence No.</w:t>
            </w:r>
          </w:p>
        </w:tc>
        <w:tc>
          <w:tcPr/>
          <w:p>
            <w:pPr>
              <w:pStyle w:val="Compact"/>
              <w:jc w:val="left"/>
            </w:pPr>
            <w:r>
              <w:t xml:space="preserve">JP-MED-2019-44821 (Tokyo Metropolitan Medical Association)</w:t>
            </w:r>
          </w:p>
        </w:tc>
      </w:tr>
      <w:tr>
        <w:tc>
          <w:tcPr/>
          <w:p>
            <w:pPr>
              <w:pStyle w:val="Compact"/>
              <w:jc w:val="left"/>
            </w:pPr>
            <w:r>
              <w:t xml:space="preserve">Currency</w:t>
            </w:r>
          </w:p>
        </w:tc>
        <w:tc>
          <w:tcPr/>
          <w:p>
            <w:pPr>
              <w:pStyle w:val="Compact"/>
              <w:jc w:val="left"/>
            </w:pPr>
            <w:r>
              <w:t xml:space="preserve">Japanese Yen (JPY)</w:t>
            </w:r>
          </w:p>
        </w:tc>
      </w:tr>
    </w:tbl>
    <w:bookmarkStart w:id="21" w:name="purpose-of-this-quotation-estimate"/>
    <w:p>
      <w:pPr>
        <w:pStyle w:val="Heading2"/>
      </w:pPr>
      <w:r>
        <w:t xml:space="preserve">1. Purpose of This Quotation Estimate</w:t>
      </w:r>
    </w:p>
    <w:p>
      <w:pPr>
        <w:pStyle w:val="FirstParagraph"/>
      </w:pPr>
      <w:r>
        <w:t xml:space="preserve">This Quotation Estimate is issued by Shinjuku Medical &amp; Wellness Clinic to provide a comprehensive, itemised cost breakdown for the engagement of a Doctor General Practitioner to deliver ongoing primary care services to the Tanaka family household in Japan Tokyo. The Doctor General Practitioner, Dr. Yuki Hamada, holds full registration with the Tokyo Metropolitan Medical Association and is qualified to perform all standard general practice consultations, preventive screenings, chronic disease management, and minor procedural interventions within the scope of Japanese national health regulations. This Quotation Estimate covers a twelve-month service period commencing 1 August 2025 and is prepared in accordance with the fee schedules published by the Japan Medical Association for the fiscal year 2025.</w:t>
      </w:r>
    </w:p>
    <w:bookmarkEnd w:id="21"/>
    <w:bookmarkStart w:id="22" w:name="X08db89ff6d889ebc77b3ce23c38af2bfba82975"/>
    <w:p>
      <w:pPr>
        <w:pStyle w:val="Heading2"/>
      </w:pPr>
      <w:r>
        <w:t xml:space="preserve">2. Scope of Services – Doctor General Practitioner, Japan Tokyo</w:t>
      </w:r>
    </w:p>
    <w:p>
      <w:pPr>
        <w:pStyle w:val="FirstParagraph"/>
      </w:pPr>
      <w:r>
        <w:t xml:space="preserve">The following services are provided by the Doctor General Practitioner at the Shinjuku Medical &amp; Wellness Clinic facility in Japan Tokyo. All consultations are conducted in Japanese and English. The Doctor General Practitioner maintains a minimum of 40 hours per week of clinical availability within the clinic premises located in the Shinjuku-ku district of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Price (JPY)</w:t>
            </w:r>
          </w:p>
        </w:tc>
        <w:tc>
          <w:tcPr/>
          <w:p>
            <w:pPr>
              <w:pStyle w:val="Compact"/>
              <w:jc w:val="left"/>
            </w:pPr>
            <w:r>
              <w:t xml:space="preserve">Qty</w:t>
            </w:r>
          </w:p>
        </w:tc>
        <w:tc>
          <w:tcPr/>
          <w:p>
            <w:pPr>
              <w:pStyle w:val="Compact"/>
              <w:jc w:val="left"/>
            </w:pPr>
            <w:r>
              <w:t xml:space="preserve">Subtotal (JPY)</w:t>
            </w:r>
          </w:p>
        </w:tc>
      </w:tr>
      <w:tr>
        <w:tc>
          <w:tcPr/>
          <w:p>
            <w:pPr>
              <w:pStyle w:val="Compact"/>
              <w:jc w:val="left"/>
            </w:pPr>
            <w:r>
              <w:t xml:space="preserve">01</w:t>
            </w:r>
          </w:p>
        </w:tc>
        <w:tc>
          <w:tcPr/>
          <w:p>
            <w:pPr>
              <w:pStyle w:val="Compact"/>
              <w:jc w:val="left"/>
            </w:pPr>
            <w:r>
              <w:t xml:space="preserve">Initial comprehensive health assessment by Doctor General Practitioner (full physical examination, blood work, urinalysis, ECG, and lifestyle review)</w:t>
            </w:r>
          </w:p>
        </w:tc>
        <w:tc>
          <w:tcPr/>
          <w:p>
            <w:pPr>
              <w:pStyle w:val="Compact"/>
              <w:jc w:val="left"/>
            </w:pPr>
            <w:r>
              <w:t xml:space="preserve">One-time</w:t>
            </w:r>
          </w:p>
        </w:tc>
        <w:tc>
          <w:tcPr/>
          <w:p>
            <w:pPr>
              <w:pStyle w:val="Compact"/>
              <w:jc w:val="left"/>
            </w:pPr>
            <w:r>
              <w:t xml:space="preserve">28,000</w:t>
            </w:r>
          </w:p>
        </w:tc>
        <w:tc>
          <w:tcPr/>
          <w:p>
            <w:pPr>
              <w:pStyle w:val="Compact"/>
              <w:jc w:val="left"/>
            </w:pPr>
            <w:r>
              <w:t xml:space="preserve">1</w:t>
            </w:r>
          </w:p>
        </w:tc>
        <w:tc>
          <w:tcPr/>
          <w:p>
            <w:pPr>
              <w:pStyle w:val="Compact"/>
              <w:jc w:val="left"/>
            </w:pPr>
            <w:r>
              <w:t xml:space="preserve">28,000</w:t>
            </w:r>
          </w:p>
        </w:tc>
      </w:tr>
      <w:tr>
        <w:tc>
          <w:tcPr/>
          <w:p>
            <w:pPr>
              <w:pStyle w:val="Compact"/>
              <w:jc w:val="left"/>
            </w:pPr>
            <w:r>
              <w:t xml:space="preserve">02</w:t>
            </w:r>
          </w:p>
        </w:tc>
        <w:tc>
          <w:tcPr/>
          <w:p>
            <w:pPr>
              <w:pStyle w:val="Compact"/>
              <w:jc w:val="left"/>
            </w:pPr>
            <w:r>
              <w:t xml:space="preserve">Routine general practice consultation (30-minute session with Doctor General Practitioner for acute complaints, follow-ups, and medication management)</w:t>
            </w:r>
          </w:p>
        </w:tc>
        <w:tc>
          <w:tcPr/>
          <w:p>
            <w:pPr>
              <w:pStyle w:val="Compact"/>
              <w:jc w:val="left"/>
            </w:pPr>
            <w:r>
              <w:t xml:space="preserve">Monthly</w:t>
            </w:r>
          </w:p>
        </w:tc>
        <w:tc>
          <w:tcPr/>
          <w:p>
            <w:pPr>
              <w:pStyle w:val="Compact"/>
              <w:jc w:val="left"/>
            </w:pPr>
            <w:r>
              <w:t xml:space="preserve">12,000</w:t>
            </w:r>
          </w:p>
        </w:tc>
        <w:tc>
          <w:tcPr/>
          <w:p>
            <w:pPr>
              <w:pStyle w:val="Compact"/>
              <w:jc w:val="left"/>
            </w:pPr>
            <w:r>
              <w:t xml:space="preserve">12</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Annual preventive health screening package (blood panel, lipid profile, liver function, renal function, tumour markers, chest X-ray, and abdominal ultrasound) administered under the supervision of the Doctor General Practitioner</w:t>
            </w:r>
          </w:p>
        </w:tc>
        <w:tc>
          <w:tcPr/>
          <w:p>
            <w:pPr>
              <w:pStyle w:val="Compact"/>
              <w:jc w:val="left"/>
            </w:pPr>
            <w:r>
              <w:t xml:space="preserve">Annually</w:t>
            </w:r>
          </w:p>
        </w:tc>
        <w:tc>
          <w:tcPr/>
          <w:p>
            <w:pPr>
              <w:pStyle w:val="Compact"/>
              <w:jc w:val="left"/>
            </w:pPr>
            <w:r>
              <w:t xml:space="preserve">45,000</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04</w:t>
            </w:r>
          </w:p>
        </w:tc>
        <w:tc>
          <w:tcPr/>
          <w:p>
            <w:pPr>
              <w:pStyle w:val="Compact"/>
              <w:jc w:val="left"/>
            </w:pPr>
            <w:r>
              <w:t xml:space="preserve">Chronic disease management programme (hypertension, type 2 diabetes, or dyslipidaemia monitoring with quarterly lab reviews and treatment adjustments by the Doctor General Practitioner)</w:t>
            </w:r>
          </w:p>
        </w:tc>
        <w:tc>
          <w:tcPr/>
          <w:p>
            <w:pPr>
              <w:pStyle w:val="Compact"/>
              <w:jc w:val="left"/>
            </w:pPr>
            <w:r>
              <w:t xml:space="preserve">Quarterly</w:t>
            </w:r>
          </w:p>
        </w:tc>
        <w:tc>
          <w:tcPr/>
          <w:p>
            <w:pPr>
              <w:pStyle w:val="Compact"/>
              <w:jc w:val="left"/>
            </w:pPr>
            <w:r>
              <w:t xml:space="preserve">18,500</w:t>
            </w:r>
          </w:p>
        </w:tc>
        <w:tc>
          <w:tcPr/>
          <w:p>
            <w:pPr>
              <w:pStyle w:val="Compact"/>
              <w:jc w:val="left"/>
            </w:pPr>
            <w:r>
              <w:t xml:space="preserve">4</w:t>
            </w:r>
          </w:p>
        </w:tc>
        <w:tc>
          <w:tcPr/>
          <w:p>
            <w:pPr>
              <w:pStyle w:val="Compact"/>
              <w:jc w:val="left"/>
            </w:pPr>
            <w:r>
              <w:t xml:space="preserve">74,000</w:t>
            </w:r>
          </w:p>
        </w:tc>
      </w:tr>
      <w:tr>
        <w:tc>
          <w:tcPr/>
          <w:p>
            <w:pPr>
              <w:pStyle w:val="Compact"/>
              <w:jc w:val="left"/>
            </w:pPr>
            <w:r>
              <w:t xml:space="preserve">05</w:t>
            </w:r>
          </w:p>
        </w:tc>
        <w:tc>
          <w:tcPr/>
          <w:p>
            <w:pPr>
              <w:pStyle w:val="Compact"/>
              <w:jc w:val="left"/>
            </w:pPr>
            <w:r>
              <w:t xml:space="preserve">Minor in-clinic procedures (wound suturing, joint injections, skin lesion excision, and intramuscular injections) performed by the Doctor General Practitioner</w:t>
            </w:r>
          </w:p>
        </w:tc>
        <w:tc>
          <w:tcPr/>
          <w:p>
            <w:pPr>
              <w:pStyle w:val="Compact"/>
              <w:jc w:val="left"/>
            </w:pPr>
            <w:r>
              <w:t xml:space="preserve">As needed (est. 3)</w:t>
            </w:r>
          </w:p>
        </w:tc>
        <w:tc>
          <w:tcPr/>
          <w:p>
            <w:pPr>
              <w:pStyle w:val="Compact"/>
              <w:jc w:val="left"/>
            </w:pPr>
            <w:r>
              <w:t xml:space="preserve">9,500</w:t>
            </w:r>
          </w:p>
        </w:tc>
        <w:tc>
          <w:tcPr/>
          <w:p>
            <w:pPr>
              <w:pStyle w:val="Compact"/>
              <w:jc w:val="left"/>
            </w:pPr>
            <w:r>
              <w:t xml:space="preserve">3</w:t>
            </w:r>
          </w:p>
        </w:tc>
        <w:tc>
          <w:tcPr/>
          <w:p>
            <w:pPr>
              <w:pStyle w:val="Compact"/>
              <w:jc w:val="left"/>
            </w:pPr>
            <w:r>
              <w:t xml:space="preserve">28,500</w:t>
            </w:r>
          </w:p>
        </w:tc>
      </w:tr>
      <w:tr>
        <w:tc>
          <w:tcPr/>
          <w:p>
            <w:pPr>
              <w:pStyle w:val="Compact"/>
              <w:jc w:val="left"/>
            </w:pPr>
            <w:r>
              <w:t xml:space="preserve">06</w:t>
            </w:r>
          </w:p>
        </w:tc>
        <w:tc>
          <w:tcPr/>
          <w:p>
            <w:pPr>
              <w:pStyle w:val="Compact"/>
              <w:jc w:val="left"/>
            </w:pPr>
            <w:r>
              <w:t xml:space="preserve">Telemedicine follow-up consultation with the Doctor General Practitioner via secure video link (15-minute session for minor queries between in-person visits)</w:t>
            </w:r>
          </w:p>
        </w:tc>
        <w:tc>
          <w:tcPr/>
          <w:p>
            <w:pPr>
              <w:pStyle w:val="Compact"/>
              <w:jc w:val="left"/>
            </w:pPr>
            <w:r>
              <w:t xml:space="preserve">Monthly</w:t>
            </w:r>
          </w:p>
        </w:tc>
        <w:tc>
          <w:tcPr/>
          <w:p>
            <w:pPr>
              <w:pStyle w:val="Compact"/>
              <w:jc w:val="left"/>
            </w:pPr>
            <w:r>
              <w:t xml:space="preserve">6,000</w:t>
            </w:r>
          </w:p>
        </w:tc>
        <w:tc>
          <w:tcPr/>
          <w:p>
            <w:pPr>
              <w:pStyle w:val="Compact"/>
              <w:jc w:val="left"/>
            </w:pPr>
            <w:r>
              <w:t xml:space="preserve">12</w:t>
            </w:r>
          </w:p>
        </w:tc>
        <w:tc>
          <w:tcPr/>
          <w:p>
            <w:pPr>
              <w:pStyle w:val="Compact"/>
              <w:jc w:val="left"/>
            </w:pPr>
            <w:r>
              <w:t xml:space="preserve">72,000</w:t>
            </w:r>
          </w:p>
        </w:tc>
      </w:tr>
      <w:tr>
        <w:tc>
          <w:tcPr/>
          <w:p>
            <w:pPr>
              <w:pStyle w:val="Compact"/>
              <w:jc w:val="left"/>
            </w:pPr>
            <w:r>
              <w:t xml:space="preserve">07</w:t>
            </w:r>
          </w:p>
        </w:tc>
        <w:tc>
          <w:tcPr/>
          <w:p>
            <w:pPr>
              <w:pStyle w:val="Compact"/>
              <w:jc w:val="left"/>
            </w:pPr>
            <w:r>
              <w:t xml:space="preserve">Referral coordination and specialist liaison (the Doctor General Practitioner arranges and coordinates referrals to cardiology, gastroenterology, or orthopaedics within Japan Tokyo and reviews specialist reports)</w:t>
            </w:r>
          </w:p>
        </w:tc>
        <w:tc>
          <w:tcPr/>
          <w:p>
            <w:pPr>
              <w:pStyle w:val="Compact"/>
              <w:jc w:val="left"/>
            </w:pPr>
            <w:r>
              <w:t xml:space="preserve">As needed (est. 2)</w:t>
            </w:r>
          </w:p>
        </w:tc>
        <w:tc>
          <w:tcPr/>
          <w:p>
            <w:pPr>
              <w:pStyle w:val="Compact"/>
              <w:jc w:val="left"/>
            </w:pPr>
            <w:r>
              <w:t xml:space="preserve">8,000</w:t>
            </w:r>
          </w:p>
        </w:tc>
        <w:tc>
          <w:tcPr/>
          <w:p>
            <w:pPr>
              <w:pStyle w:val="Compact"/>
              <w:jc w:val="left"/>
            </w:pPr>
            <w:r>
              <w:t xml:space="preserve">2</w:t>
            </w:r>
          </w:p>
        </w:tc>
        <w:tc>
          <w:tcPr/>
          <w:p>
            <w:pPr>
              <w:pStyle w:val="Compact"/>
              <w:jc w:val="left"/>
            </w:pPr>
            <w:r>
              <w:t xml:space="preserve">16,000</w:t>
            </w:r>
          </w:p>
        </w:tc>
      </w:tr>
      <w:tr>
        <w:tc>
          <w:tcPr/>
          <w:p>
            <w:pPr>
              <w:pStyle w:val="Compact"/>
              <w:jc w:val="left"/>
            </w:pPr>
            <w:r>
              <w:t xml:space="preserve">08</w:t>
            </w:r>
          </w:p>
        </w:tc>
        <w:tc>
          <w:tcPr/>
          <w:p>
            <w:pPr>
              <w:pStyle w:val="Compact"/>
              <w:jc w:val="left"/>
            </w:pPr>
            <w:r>
              <w:t xml:space="preserve">Prescription issuance and medication counselling by the Doctor General Practitioner (includes up to 30-day supply of standard medications)</w:t>
            </w:r>
          </w:p>
        </w:tc>
        <w:tc>
          <w:tcPr/>
          <w:p>
            <w:pPr>
              <w:pStyle w:val="Compact"/>
              <w:jc w:val="left"/>
            </w:pPr>
            <w:r>
              <w:t xml:space="preserve">Per visit</w:t>
            </w:r>
          </w:p>
        </w:tc>
        <w:tc>
          <w:tcPr/>
          <w:p>
            <w:pPr>
              <w:pStyle w:val="Compact"/>
              <w:jc w:val="left"/>
            </w:pPr>
            <w:r>
              <w:t xml:space="preserve">3,500</w:t>
            </w:r>
          </w:p>
        </w:tc>
        <w:tc>
          <w:tcPr/>
          <w:p>
            <w:pPr>
              <w:pStyle w:val="Compact"/>
              <w:jc w:val="left"/>
            </w:pPr>
            <w:r>
              <w:t xml:space="preserve">12</w:t>
            </w:r>
          </w:p>
        </w:tc>
        <w:tc>
          <w:tcPr/>
          <w:p>
            <w:pPr>
              <w:pStyle w:val="Compact"/>
              <w:jc w:val="left"/>
            </w:pPr>
            <w:r>
              <w:t xml:space="preserve">42,000</w:t>
            </w:r>
          </w:p>
        </w:tc>
      </w:tr>
      <w:tr>
        <w:tc>
          <w:tcPr/>
          <w:p>
            <w:pPr>
              <w:pStyle w:val="Compact"/>
              <w:jc w:val="left"/>
            </w:pPr>
            <w:r>
              <w:t xml:space="preserve">09</w:t>
            </w:r>
          </w:p>
        </w:tc>
        <w:tc>
          <w:tcPr/>
          <w:p>
            <w:pPr>
              <w:pStyle w:val="Compact"/>
              <w:jc w:val="left"/>
            </w:pPr>
            <w:r>
              <w:t xml:space="preserve">After-hours emergency telephone triage line (24/7 access to on-call Doctor General Practitioner for urgent medical guidance in Japan Tokyo)</w:t>
            </w:r>
          </w:p>
        </w:tc>
        <w:tc>
          <w:tcPr/>
          <w:p>
            <w:pPr>
              <w:pStyle w:val="Compact"/>
              <w:jc w:val="left"/>
            </w:pPr>
            <w:r>
              <w:t xml:space="preserve">Annual subscription</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Health record maintenance and annual summary report (digital and printed comprehensive health file maintained by the Doctor General Practitioner, including all lab results, imaging, and treatment history)</w:t>
            </w:r>
          </w:p>
        </w:tc>
        <w:tc>
          <w:tcPr/>
          <w:p>
            <w:pPr>
              <w:pStyle w:val="Compact"/>
              <w:jc w:val="left"/>
            </w:pPr>
            <w:r>
              <w:t xml:space="preserve">Annually</w:t>
            </w:r>
          </w:p>
        </w:tc>
        <w:tc>
          <w:tcPr/>
          <w:p>
            <w:pPr>
              <w:pStyle w:val="Compact"/>
              <w:jc w:val="left"/>
            </w:pPr>
            <w:r>
              <w:t xml:space="preserve">10,000</w:t>
            </w:r>
          </w:p>
        </w:tc>
        <w:tc>
          <w:tcPr/>
          <w:p>
            <w:pPr>
              <w:pStyle w:val="Compact"/>
              <w:jc w:val="left"/>
            </w:pPr>
            <w:r>
              <w:t xml:space="preserve">1</w:t>
            </w:r>
          </w:p>
        </w:tc>
        <w:tc>
          <w:tcPr/>
          <w:p>
            <w:pPr>
              <w:pStyle w:val="Compact"/>
              <w:jc w:val="left"/>
            </w:pPr>
            <w:r>
              <w:t xml:space="preserve">10,000</w:t>
            </w:r>
          </w:p>
        </w:tc>
      </w:tr>
      <w:tr>
        <w:tc>
          <w:tcPr>
            <w:gridSpan w:val="5"/>
          </w:tcPr>
          <w:p>
            <w:pPr>
              <w:pStyle w:val="Compact"/>
              <w:jc w:val="left"/>
            </w:pPr>
            <w:r>
              <w:t xml:space="preserve">SUBTOTAL</w:t>
            </w:r>
          </w:p>
        </w:tc>
        <w:tc>
          <w:tcPr/>
          <w:p>
            <w:pPr>
              <w:pStyle w:val="Compact"/>
              <w:jc w:val="left"/>
            </w:pPr>
            <w:r>
              <w:t xml:space="preserve">574,500</w:t>
            </w:r>
          </w:p>
        </w:tc>
      </w:tr>
      <w:tr>
        <w:tc>
          <w:tcPr>
            <w:gridSpan w:val="5"/>
          </w:tcPr>
          <w:p>
            <w:pPr>
              <w:pStyle w:val="Compact"/>
              <w:jc w:val="left"/>
            </w:pPr>
            <w:r>
              <w:t xml:space="preserve">Consumables and laboratory reagents (estimated)</w:t>
            </w:r>
          </w:p>
        </w:tc>
        <w:tc>
          <w:tcPr/>
          <w:p>
            <w:pPr>
              <w:pStyle w:val="Compact"/>
              <w:jc w:val="left"/>
            </w:pPr>
            <w:r>
              <w:t xml:space="preserve">32,000</w:t>
            </w:r>
          </w:p>
        </w:tc>
      </w:tr>
      <w:tr>
        <w:tc>
          <w:tcPr>
            <w:gridSpan w:val="5"/>
          </w:tcPr>
          <w:p>
            <w:pPr>
              <w:pStyle w:val="Compact"/>
              <w:jc w:val="left"/>
            </w:pPr>
            <w:r>
              <w:t xml:space="preserve">TOTAL ESTIMATED COST (JPY)</w:t>
            </w:r>
          </w:p>
        </w:tc>
        <w:tc>
          <w:tcPr/>
          <w:p>
            <w:pPr>
              <w:pStyle w:val="Compact"/>
              <w:jc w:val="left"/>
            </w:pPr>
            <w:r>
              <w:t xml:space="preserve">606,500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t xml:space="preserve">This Quotation Estimate is valid for thirty (30) calendar days from the date of issue. After the expiry date, the Doctor General Practitioner reserves the right to revise pricing in accordance with updated Japan Tokyo medical fee schedules.</w:t>
      </w:r>
    </w:p>
    <w:p>
      <w:pPr>
        <w:numPr>
          <w:ilvl w:val="0"/>
          <w:numId w:val="1001"/>
        </w:numPr>
        <w:pStyle w:val="Compact"/>
      </w:pPr>
      <w:r>
        <w:t xml:space="preserve">All fees listed in this Quotation Estimate are exclusive of applicable consumption tax (10% JCT) unless otherwise stated. The final invoice will include the statutory tax amount as mandated by the National Tax Agency of Japan.</w:t>
      </w:r>
    </w:p>
    <w:p>
      <w:pPr>
        <w:numPr>
          <w:ilvl w:val="0"/>
          <w:numId w:val="1001"/>
        </w:numPr>
        <w:pStyle w:val="Compact"/>
      </w:pPr>
      <w:r>
        <w:t xml:space="preserve">Payment is due within fourteen (14) days of the monthly invoice date. The Doctor General Practitioner accepts payment via bank transfer (Fukuin), credit card (Visa, Mastercard, JCB), or cash at the clinic reception in Japan Tokyo.</w:t>
      </w:r>
    </w:p>
    <w:p>
      <w:pPr>
        <w:numPr>
          <w:ilvl w:val="0"/>
          <w:numId w:val="1001"/>
        </w:numPr>
        <w:pStyle w:val="Compact"/>
      </w:pPr>
      <w:r>
        <w:t xml:space="preserve">Any services not explicitly listed in this Quotation Estimate, including but not limited to emergency hospital admissions, surgical interventions, or specialised diagnostic imaging beyond the annual screening package, will be billed separately at the standard Japan Tokyo medical fee schedule rates.</w:t>
      </w:r>
    </w:p>
    <w:p>
      <w:pPr>
        <w:numPr>
          <w:ilvl w:val="0"/>
          <w:numId w:val="1001"/>
        </w:numPr>
        <w:pStyle w:val="Compact"/>
      </w:pPr>
      <w:r>
        <w:t xml:space="preserve">The Doctor General Practitioner is bound by the Japanese Medical Practitioners Act (Act No. 201 of 1963) and the Personal Information Protection Act (Act No. 57 of 2003). All patient records and health data collected in Japan Tokyo shall be stored securely and shall not be disclosed to third parties without written consent.</w:t>
      </w:r>
    </w:p>
    <w:p>
      <w:pPr>
        <w:numPr>
          <w:ilvl w:val="0"/>
          <w:numId w:val="1001"/>
        </w:numPr>
        <w:pStyle w:val="Compact"/>
      </w:pPr>
      <w:r>
        <w:t xml:space="preserve">Cancellation of a scheduled consultation with the Doctor General Practitioner must be made at least 24 hours in advance. Late cancellations or no-shows will incur a fee of 5,000 JPY per occurrence.</w:t>
      </w:r>
    </w:p>
    <w:p>
      <w:pPr>
        <w:numPr>
          <w:ilvl w:val="0"/>
          <w:numId w:val="1001"/>
        </w:numPr>
        <w:pStyle w:val="Compact"/>
      </w:pPr>
      <w:r>
        <w:t xml:space="preserve">This Quotation Estimate does not constitute a binding contract until a signed service agreement is executed by both parties. The Doctor General Practitioner and the client shall each retain one original copy.</w:t>
      </w:r>
    </w:p>
    <w:p>
      <w:pPr>
        <w:numPr>
          <w:ilvl w:val="0"/>
          <w:numId w:val="1001"/>
        </w:numPr>
        <w:pStyle w:val="Compact"/>
      </w:pPr>
      <w:r>
        <w:t xml:space="preserve">In the event of force majeure, including but not limited to natural disasters affecting the Japan Tokyo metropolitan area, the Doctor General Practitioner may temporarily suspend in-person services and transition to telemedicine consultations without additional charge.</w:t>
      </w:r>
    </w:p>
    <w:p>
      <w:pPr>
        <w:numPr>
          <w:ilvl w:val="0"/>
          <w:numId w:val="1001"/>
        </w:numPr>
        <w:pStyle w:val="Compact"/>
      </w:pPr>
      <w:r>
        <w:t xml:space="preserve">Any disputes arising from this Quotation Estimate or the subsequent service agreement shall be resolved through mediation under the jurisdiction of the Tokyo District Court.</w:t>
      </w:r>
    </w:p>
    <w:bookmarkEnd w:id="23"/>
    <w:bookmarkStart w:id="24" w:name="acceptance-and-authorisation"/>
    <w:p>
      <w:pPr>
        <w:pStyle w:val="Heading2"/>
      </w:pPr>
      <w:r>
        <w:t xml:space="preserve">4. Acceptance and Authorisation</w:t>
      </w:r>
    </w:p>
    <w:p>
      <w:pPr>
        <w:pStyle w:val="FirstParagraph"/>
      </w:pPr>
      <w:r>
        <w:t xml:space="preserve">By signing below, the client acknowledges receipt of this Quotation Estimate for Doctor General Practitioner services in Japan Tokyo and agrees to the terms and conditions outlined above. The Doctor General Practitioner confirms availability to commence services on the agreed start date.</w:t>
      </w:r>
    </w:p>
    <w:p>
      <w:pPr>
        <w:pStyle w:val="BodyText"/>
      </w:pPr>
      <w:r>
        <w:rPr>
          <w:bCs/>
          <w:b/>
        </w:rPr>
        <w:t xml:space="preserve">For the Client:</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the Doctor General Practitioner:</w:t>
      </w:r>
    </w:p>
    <w:p>
      <w:pPr>
        <w:pStyle w:val="BodyText"/>
      </w:pPr>
      <w:r>
        <w:t xml:space="preserve">Name: Dr. Yuki Hamada, M.D.</w:t>
      </w:r>
    </w:p>
    <w:p>
      <w:pPr>
        <w:pStyle w:val="BodyText"/>
      </w:pPr>
      <w:r>
        <w:t xml:space="preserve">Signature: ______________________________</w:t>
      </w:r>
    </w:p>
    <w:p>
      <w:pPr>
        <w:pStyle w:val="BodyText"/>
      </w:pPr>
      <w:r>
        <w:t xml:space="preserve">Date: ______________________________</w:t>
      </w:r>
    </w:p>
    <w:p>
      <w:pPr>
        <w:pStyle w:val="BodyText"/>
      </w:pPr>
      <w:r>
        <w:t xml:space="preserve">Shinjuku Medical &amp; Wellness Clinic | Doctor General Practitioner Services | Japan Tokyo</w:t>
      </w:r>
    </w:p>
    <w:p>
      <w:pPr>
        <w:pStyle w:val="BodyText"/>
      </w:pPr>
      <w:r>
        <w:t xml:space="preserve">Quotation Estimate No. QTE-2025-TKY-04782 | Page 1 of 1</w:t>
      </w:r>
    </w:p>
    <w:p>
      <w:pPr>
        <w:pStyle w:val="BodyText"/>
      </w:pPr>
      <w:r>
        <w:t xml:space="preserve">This document is generated electronically and is valid without a physical seal (hanko) in accordance with Japan's Electronic Documents and Electronic Signatures Act.</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Doctor General Practitioner - Japan Tokyo</dc:title>
  <dc:creator/>
  <dc:language>en</dc:language>
  <cp:keywords/>
  <dcterms:created xsi:type="dcterms:W3CDTF">2026-10-10T06:50:43Z</dcterms:created>
  <dcterms:modified xsi:type="dcterms:W3CDTF">2026-10-10T06:50:43Z</dcterms:modified>
</cp:coreProperties>
</file>

<file path=docProps/custom.xml><?xml version="1.0" encoding="utf-8"?>
<Properties xmlns="http://schemas.openxmlformats.org/officeDocument/2006/custom-properties" xmlns:vt="http://schemas.openxmlformats.org/officeDocument/2006/docPropsVTypes"/>
</file>