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Nairobi Medical Associates Ltd.</w:t>
      </w:r>
    </w:p>
    <w:p>
      <w:pPr>
        <w:pStyle w:val="BodyText"/>
      </w:pPr>
      <w:r>
        <w:t xml:space="preserve">Doctor General Practitioner Services | Kenya Nairobi</w:t>
      </w:r>
    </w:p>
    <w:p>
      <w:pPr>
        <w:pStyle w:val="BodyText"/>
      </w:pPr>
      <w:r>
        <w:t xml:space="preserve">P.O. Box 4521, Nairobi, Kenya | Tel: +254 700 123 456 | Email: info@nairobimedical.co.ke</w:t>
      </w:r>
    </w:p>
    <w:p>
      <w:pPr>
        <w:pStyle w:val="BodyText"/>
      </w:pPr>
      <w:r>
        <w:t xml:space="preserve">Licence No. KMC/2024/0892 | Physical Therapy &amp; General Practice Board Registered</w:t>
      </w:r>
    </w:p>
    <w:bookmarkEnd w:id="20"/>
    <w:p>
      <w:pPr>
        <w:pStyle w:val="BodyText"/>
      </w:pPr>
      <w:r>
        <w:rPr>
          <w:bCs/>
          <w:b/>
        </w:rPr>
        <w:t xml:space="preserve">Quotation No.:</w:t>
      </w:r>
      <w:r>
        <w:t xml:space="preserve"> </w:t>
      </w:r>
      <w:r>
        <w:t xml:space="preserve">QTE-NMB-2025-0347</w:t>
      </w:r>
    </w:p>
    <w:p>
      <w:pPr>
        <w:pStyle w:val="BodyText"/>
      </w:pPr>
      <w:r>
        <w:rPr>
          <w:bCs/>
          <w:b/>
        </w:rPr>
        <w:t xml:space="preserve">Date of Issue:</w:t>
      </w:r>
      <w:r>
        <w:t xml:space="preserve"> </w:t>
      </w:r>
      <w:r>
        <w:t xml:space="preserve">15th June 2025</w:t>
      </w:r>
    </w:p>
    <w:p>
      <w:pPr>
        <w:pStyle w:val="BodyText"/>
      </w:pPr>
      <w:r>
        <w:rPr>
          <w:bCs/>
          <w:b/>
        </w:rPr>
        <w:t xml:space="preserve">Valid Until:</w:t>
      </w:r>
      <w:r>
        <w:t xml:space="preserve"> </w:t>
      </w:r>
      <w:r>
        <w:t xml:space="preserve">15th July 2025</w:t>
      </w:r>
    </w:p>
    <w:p>
      <w:pPr>
        <w:pStyle w:val="BodyText"/>
      </w:pPr>
      <w:r>
        <w:rPr>
          <w:bCs/>
          <w:b/>
        </w:rPr>
        <w:t xml:space="preserve">Prepared For:</w:t>
      </w:r>
      <w:r>
        <w:t xml:space="preserve"> </w:t>
      </w:r>
      <w:r>
        <w:t xml:space="preserve">Mombasa County Health Authority</w:t>
      </w:r>
    </w:p>
    <w:p>
      <w:pPr>
        <w:pStyle w:val="BodyText"/>
      </w:pPr>
      <w:r>
        <w:rPr>
          <w:bCs/>
          <w:b/>
        </w:rPr>
        <w:t xml:space="preserve">Attn:</w:t>
      </w:r>
      <w:r>
        <w:t xml:space="preserve"> </w:t>
      </w:r>
      <w:r>
        <w:t xml:space="preserve">Dr. Amina Wanjiku, Procurement Officer</w:t>
      </w:r>
    </w:p>
    <w:p>
      <w:pPr>
        <w:pStyle w:val="BodyText"/>
      </w:pPr>
      <w:r>
        <w:rPr>
          <w:bCs/>
          <w:b/>
        </w:rPr>
        <w:t xml:space="preserve">Location:</w:t>
      </w:r>
      <w:r>
        <w:t xml:space="preserve"> </w:t>
      </w:r>
      <w:r>
        <w:t xml:space="preserve">Kenya Nairobi, Westlands Business District</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Nairobi Medical Associates Ltd. in response to the request for professional medical services rendered by a qualified</w:t>
      </w:r>
      <w:r>
        <w:t xml:space="preserve"> </w:t>
      </w:r>
      <w:r>
        <w:t xml:space="preserve">Doctor General Practitioner</w:t>
      </w:r>
      <w:r>
        <w:t xml:space="preserve"> </w:t>
      </w:r>
      <w:r>
        <w:t xml:space="preserve">operating within the Kenya Nairobi metropolitan area. The scope of this engagement encompasses comprehensive primary healthcare delivery, preventive medicine consultations, diagnostic assessments, and ongoing patient management as outlined in the service schedule below.</w:t>
      </w:r>
    </w:p>
    <w:p>
      <w:pPr>
        <w:pStyle w:val="BodyText"/>
      </w:pPr>
      <w:r>
        <w:t xml:space="preserve">Our</w:t>
      </w:r>
      <w:r>
        <w:t xml:space="preserve"> </w:t>
      </w:r>
      <w:r>
        <w:t xml:space="preserve">Doctor General Practitioner</w:t>
      </w:r>
      <w:r>
        <w:t xml:space="preserve">, Dr. Samuel Kiprop, holds a Bachelor of Medicine and Bachelor of Surgery (MBChB) from the University of Nairobi, a Postgraduate Diploma in General Practice from the Kenya School of Medicine, and is fully registered with the Medical Council of Kenya. With over twelve years of clinical experience in the Kenya Nairobi region, Dr. Kiprop is well-versed in managing a wide spectrum of acute and chronic conditions prevalent in the local population.</w:t>
      </w:r>
    </w:p>
    <w:bookmarkEnd w:id="21"/>
    <w:bookmarkStart w:id="22" w:name="itemized-service-breakdown"/>
    <w:p>
      <w:pPr>
        <w:pStyle w:val="Heading2"/>
      </w:pPr>
      <w:r>
        <w:t xml:space="preserve">2. 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(KES)</w:t>
            </w:r>
          </w:p>
        </w:tc>
        <w:tc>
          <w:tcPr/>
          <w:p>
            <w:pPr>
              <w:pStyle w:val="Compact"/>
              <w:jc w:val="left"/>
            </w:pPr>
            <w:r>
              <w:t xml:space="preserve">Quantity</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Comprehensive General Practitioner Consultation (initial and follow-up visits)</w:t>
            </w:r>
          </w:p>
        </w:tc>
        <w:tc>
          <w:tcPr/>
          <w:p>
            <w:pPr>
              <w:pStyle w:val="Compact"/>
              <w:jc w:val="left"/>
            </w:pPr>
            <w:r>
              <w:t xml:space="preserve">Per session (45 min)</w:t>
            </w:r>
          </w:p>
        </w:tc>
        <w:tc>
          <w:tcPr/>
          <w:p>
            <w:pPr>
              <w:pStyle w:val="Compact"/>
              <w:jc w:val="left"/>
            </w:pPr>
            <w:r>
              <w:t xml:space="preserve">3,500</w:t>
            </w:r>
          </w:p>
        </w:tc>
        <w:tc>
          <w:tcPr/>
          <w:p>
            <w:pPr>
              <w:pStyle w:val="Compact"/>
              <w:jc w:val="left"/>
            </w:pPr>
            <w:r>
              <w:t xml:space="preserve">120 sessions</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Preventive Health Screening Programme (blood work, ECG, BMI, blood pressure monitoring)</w:t>
            </w:r>
          </w:p>
        </w:tc>
        <w:tc>
          <w:tcPr/>
          <w:p>
            <w:pPr>
              <w:pStyle w:val="Compact"/>
              <w:jc w:val="left"/>
            </w:pPr>
            <w:r>
              <w:t xml:space="preserve">Per patient per quarter</w:t>
            </w:r>
          </w:p>
        </w:tc>
        <w:tc>
          <w:tcPr/>
          <w:p>
            <w:pPr>
              <w:pStyle w:val="Compact"/>
              <w:jc w:val="left"/>
            </w:pPr>
            <w:r>
              <w:t xml:space="preserve">5,200</w:t>
            </w:r>
          </w:p>
        </w:tc>
        <w:tc>
          <w:tcPr/>
          <w:p>
            <w:pPr>
              <w:pStyle w:val="Compact"/>
              <w:jc w:val="left"/>
            </w:pPr>
            <w:r>
              <w:t xml:space="preserve">200 patients</w:t>
            </w:r>
          </w:p>
        </w:tc>
        <w:tc>
          <w:tcPr/>
          <w:p>
            <w:pPr>
              <w:pStyle w:val="Compact"/>
              <w:jc w:val="left"/>
            </w:pPr>
            <w:r>
              <w:t xml:space="preserve">1,040,000</w:t>
            </w:r>
          </w:p>
        </w:tc>
      </w:tr>
      <w:tr>
        <w:tc>
          <w:tcPr/>
          <w:p>
            <w:pPr>
              <w:pStyle w:val="Compact"/>
              <w:jc w:val="left"/>
            </w:pPr>
            <w:r>
              <w:t xml:space="preserve">3</w:t>
            </w:r>
          </w:p>
        </w:tc>
        <w:tc>
          <w:tcPr/>
          <w:p>
            <w:pPr>
              <w:pStyle w:val="Compact"/>
              <w:jc w:val="left"/>
            </w:pPr>
            <w:r>
              <w:t xml:space="preserve">Chronic Disease Management (Hypertension, Diabetes Type 2, Asthma)</w:t>
            </w:r>
          </w:p>
        </w:tc>
        <w:tc>
          <w:tcPr/>
          <w:p>
            <w:pPr>
              <w:pStyle w:val="Compact"/>
              <w:jc w:val="left"/>
            </w:pPr>
            <w:r>
              <w:t xml:space="preserve">Monthly review per patient</w:t>
            </w:r>
          </w:p>
        </w:tc>
        <w:tc>
          <w:tcPr/>
          <w:p>
            <w:pPr>
              <w:pStyle w:val="Compact"/>
              <w:jc w:val="left"/>
            </w:pPr>
            <w:r>
              <w:t xml:space="preserve">2,800</w:t>
            </w:r>
          </w:p>
        </w:tc>
        <w:tc>
          <w:tcPr/>
          <w:p>
            <w:pPr>
              <w:pStyle w:val="Compact"/>
              <w:jc w:val="left"/>
            </w:pPr>
            <w:r>
              <w:t xml:space="preserve">80 patients × 12 months</w:t>
            </w:r>
          </w:p>
        </w:tc>
        <w:tc>
          <w:tcPr/>
          <w:p>
            <w:pPr>
              <w:pStyle w:val="Compact"/>
              <w:jc w:val="left"/>
            </w:pPr>
            <w:r>
              <w:t xml:space="preserve">2,688,000</w:t>
            </w:r>
          </w:p>
        </w:tc>
      </w:tr>
      <w:tr>
        <w:tc>
          <w:tcPr/>
          <w:p>
            <w:pPr>
              <w:pStyle w:val="Compact"/>
              <w:jc w:val="left"/>
            </w:pPr>
            <w:r>
              <w:t xml:space="preserve">4</w:t>
            </w:r>
          </w:p>
        </w:tc>
        <w:tc>
          <w:tcPr/>
          <w:p>
            <w:pPr>
              <w:pStyle w:val="Compact"/>
              <w:jc w:val="left"/>
            </w:pPr>
            <w:r>
              <w:t xml:space="preserve">Minor Surgical Procedures (wound management, abscess drainage, suture removal)</w:t>
            </w:r>
          </w:p>
        </w:tc>
        <w:tc>
          <w:tcPr/>
          <w:p>
            <w:pPr>
              <w:pStyle w:val="Compact"/>
              <w:jc w:val="left"/>
            </w:pPr>
            <w:r>
              <w:t xml:space="preserve">Per procedure</w:t>
            </w:r>
          </w:p>
        </w:tc>
        <w:tc>
          <w:tcPr/>
          <w:p>
            <w:pPr>
              <w:pStyle w:val="Compact"/>
              <w:jc w:val="left"/>
            </w:pPr>
            <w:r>
              <w:t xml:space="preserve">4,500</w:t>
            </w:r>
          </w:p>
        </w:tc>
        <w:tc>
          <w:tcPr/>
          <w:p>
            <w:pPr>
              <w:pStyle w:val="Compact"/>
              <w:jc w:val="left"/>
            </w:pPr>
            <w:r>
              <w:t xml:space="preserve">60 procedures</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Health Education and Community Outreach Sessions in Kenya Nairobi suburbs</w:t>
            </w:r>
          </w:p>
        </w:tc>
        <w:tc>
          <w:tcPr/>
          <w:p>
            <w:pPr>
              <w:pStyle w:val="Compact"/>
              <w:jc w:val="left"/>
            </w:pPr>
            <w:r>
              <w:t xml:space="preserve">Per session (3 hrs)</w:t>
            </w:r>
          </w:p>
        </w:tc>
        <w:tc>
          <w:tcPr/>
          <w:p>
            <w:pPr>
              <w:pStyle w:val="Compact"/>
              <w:jc w:val="left"/>
            </w:pPr>
            <w:r>
              <w:t xml:space="preserve">8,000</w:t>
            </w:r>
          </w:p>
        </w:tc>
        <w:tc>
          <w:tcPr/>
          <w:p>
            <w:pPr>
              <w:pStyle w:val="Compact"/>
              <w:jc w:val="left"/>
            </w:pPr>
            <w:r>
              <w:t xml:space="preserve">24 sessions</w:t>
            </w:r>
          </w:p>
        </w:tc>
        <w:tc>
          <w:tcPr/>
          <w:p>
            <w:pPr>
              <w:pStyle w:val="Compact"/>
              <w:jc w:val="left"/>
            </w:pPr>
            <w:r>
              <w:t xml:space="preserve">192,000</w:t>
            </w:r>
          </w:p>
        </w:tc>
      </w:tr>
      <w:tr>
        <w:tc>
          <w:tcPr/>
          <w:p>
            <w:pPr>
              <w:pStyle w:val="Compact"/>
              <w:jc w:val="left"/>
            </w:pPr>
            <w:r>
              <w:t xml:space="preserve">6</w:t>
            </w:r>
          </w:p>
        </w:tc>
        <w:tc>
          <w:tcPr/>
          <w:p>
            <w:pPr>
              <w:pStyle w:val="Compact"/>
              <w:jc w:val="left"/>
            </w:pPr>
            <w:r>
              <w:t xml:space="preserve">Medical Records Management and Referral Coordination</w:t>
            </w:r>
          </w:p>
        </w:tc>
        <w:tc>
          <w:tcPr/>
          <w:p>
            <w:pPr>
              <w:pStyle w:val="Compact"/>
              <w:jc w:val="left"/>
            </w:pPr>
            <w:r>
              <w:t xml:space="preserve">Monthly administrative fee</w:t>
            </w:r>
          </w:p>
        </w:tc>
        <w:tc>
          <w:tcPr/>
          <w:p>
            <w:pPr>
              <w:pStyle w:val="Compact"/>
              <w:jc w:val="left"/>
            </w:pPr>
            <w:r>
              <w:t xml:space="preserve">15,000</w:t>
            </w:r>
          </w:p>
        </w:tc>
        <w:tc>
          <w:tcPr/>
          <w:p>
            <w:pPr>
              <w:pStyle w:val="Compact"/>
              <w:jc w:val="left"/>
            </w:pPr>
            <w:r>
              <w:t xml:space="preserve">12 months</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Emergency After-Hours Call-Out Service (Doctor General Practitioner on-call)</w:t>
            </w:r>
          </w:p>
        </w:tc>
        <w:tc>
          <w:tcPr/>
          <w:p>
            <w:pPr>
              <w:pStyle w:val="Compact"/>
              <w:jc w:val="left"/>
            </w:pPr>
            <w:r>
              <w:t xml:space="preserve">Per call-out (up to 2 hrs)</w:t>
            </w:r>
          </w:p>
        </w:tc>
        <w:tc>
          <w:tcPr/>
          <w:p>
            <w:pPr>
              <w:pStyle w:val="Compact"/>
              <w:jc w:val="left"/>
            </w:pPr>
            <w:r>
              <w:t xml:space="preserve">7,500</w:t>
            </w:r>
          </w:p>
        </w:tc>
        <w:tc>
          <w:tcPr/>
          <w:p>
            <w:pPr>
              <w:pStyle w:val="Compact"/>
              <w:jc w:val="left"/>
            </w:pPr>
            <w:r>
              <w:t xml:space="preserve">30 call-outs</w:t>
            </w:r>
          </w:p>
        </w:tc>
        <w:tc>
          <w:tcPr/>
          <w:p>
            <w:pPr>
              <w:pStyle w:val="Compact"/>
              <w:jc w:val="left"/>
            </w:pPr>
            <w:r>
              <w:t xml:space="preserve">225,000</w:t>
            </w:r>
          </w:p>
        </w:tc>
      </w:tr>
      <w:tr>
        <w:tc>
          <w:tcPr/>
          <w:p>
            <w:pPr>
              <w:pStyle w:val="Compact"/>
              <w:jc w:val="left"/>
            </w:pPr>
            <w:r>
              <w:t xml:space="preserve">8</w:t>
            </w:r>
          </w:p>
        </w:tc>
        <w:tc>
          <w:tcPr/>
          <w:p>
            <w:pPr>
              <w:pStyle w:val="Compact"/>
              <w:jc w:val="left"/>
            </w:pPr>
            <w:r>
              <w:t xml:space="preserve">Prescription and Pharmaceutical Advisory Service</w:t>
            </w:r>
          </w:p>
        </w:tc>
        <w:tc>
          <w:tcPr/>
          <w:p>
            <w:pPr>
              <w:pStyle w:val="Compact"/>
              <w:jc w:val="left"/>
            </w:pPr>
            <w:r>
              <w:t xml:space="preserve">Per month</w:t>
            </w:r>
          </w:p>
        </w:tc>
        <w:tc>
          <w:tcPr/>
          <w:p>
            <w:pPr>
              <w:pStyle w:val="Compact"/>
              <w:jc w:val="left"/>
            </w:pPr>
            <w:r>
              <w:t xml:space="preserve">10,000</w:t>
            </w:r>
          </w:p>
        </w:tc>
        <w:tc>
          <w:tcPr/>
          <w:p>
            <w:pPr>
              <w:pStyle w:val="Compact"/>
              <w:jc w:val="left"/>
            </w:pPr>
            <w:r>
              <w:t xml:space="preserve">12 months</w:t>
            </w:r>
          </w:p>
        </w:tc>
        <w:tc>
          <w:tcPr/>
          <w:p>
            <w:pPr>
              <w:pStyle w:val="Compact"/>
              <w:jc w:val="left"/>
            </w:pPr>
            <w:r>
              <w:t xml:space="preserve">120,000</w:t>
            </w:r>
          </w:p>
        </w:tc>
      </w:tr>
      <w:tr>
        <w:tc>
          <w:tcPr>
            <w:gridSpan w:val="5"/>
          </w:tcPr>
          <w:p>
            <w:pPr>
              <w:pStyle w:val="Compact"/>
              <w:jc w:val="left"/>
            </w:pPr>
            <w:r>
              <w:t xml:space="preserve">SUBTOTAL</w:t>
            </w:r>
          </w:p>
        </w:tc>
        <w:tc>
          <w:tcPr/>
          <w:p>
            <w:pPr>
              <w:pStyle w:val="Compact"/>
              <w:jc w:val="left"/>
            </w:pPr>
            <w:r>
              <w:t xml:space="preserve">5,135,000</w:t>
            </w:r>
          </w:p>
        </w:tc>
      </w:tr>
      <w:tr>
        <w:tc>
          <w:tcPr>
            <w:gridSpan w:val="5"/>
          </w:tcPr>
          <w:p>
            <w:pPr>
              <w:pStyle w:val="Compact"/>
              <w:jc w:val="left"/>
            </w:pPr>
            <w:r>
              <w:t xml:space="preserve">VAT (16%)</w:t>
            </w:r>
          </w:p>
        </w:tc>
        <w:tc>
          <w:tcPr/>
          <w:p>
            <w:pPr>
              <w:pStyle w:val="Compact"/>
              <w:jc w:val="left"/>
            </w:pPr>
            <w:r>
              <w:t xml:space="preserve">821,600</w:t>
            </w:r>
          </w:p>
        </w:tc>
      </w:tr>
      <w:tr>
        <w:tc>
          <w:tcPr>
            <w:gridSpan w:val="5"/>
          </w:tcPr>
          <w:p>
            <w:pPr>
              <w:pStyle w:val="Compact"/>
              <w:jc w:val="left"/>
            </w:pPr>
            <w:r>
              <w:rPr>
                <w:bCs/>
                <w:b/>
              </w:rPr>
              <w:t xml:space="preserve">TOTAL ESTIMATED COST (KES)</w:t>
            </w:r>
          </w:p>
        </w:tc>
        <w:tc>
          <w:tcPr/>
          <w:p>
            <w:pPr>
              <w:pStyle w:val="Compact"/>
              <w:jc w:val="left"/>
            </w:pPr>
            <w:r>
              <w:rPr>
                <w:bCs/>
                <w:b/>
              </w:rPr>
              <w:t xml:space="preserve">5,956,600</w:t>
            </w: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Beyond this period, pricing may be subject to revision based on prevailing market conditions in Kenya Nairobi and adjustments to the Medical Council of Kenya fee schedule.</w:t>
      </w:r>
    </w:p>
    <w:p>
      <w:pPr>
        <w:pStyle w:val="BodyText"/>
      </w:pPr>
      <w:r>
        <w:rPr>
          <w:bCs/>
          <w:b/>
        </w:rPr>
        <w:t xml:space="preserve">3.2 Payment Terms:</w:t>
      </w:r>
      <w:r>
        <w:t xml:space="preserve"> </w:t>
      </w:r>
      <w:r>
        <w:t xml:space="preserve">Payment shall be made in quarterly instalments of 25% each, due within fourteen (14) days of invoice issuance. A 5% late payment penalty shall apply to overdue balances. All payments shall be made in Kenyan Shillings (KES) via bank transfer to the account designated by Nairobi Medical Associates Ltd.</w:t>
      </w:r>
    </w:p>
    <w:p>
      <w:pPr>
        <w:pStyle w:val="BodyText"/>
      </w:pPr>
      <w:r>
        <w:rPr>
          <w:bCs/>
          <w:b/>
        </w:rPr>
        <w:t xml:space="preserve">3.3 Scope Limitations:</w:t>
      </w:r>
      <w:r>
        <w:t xml:space="preserve"> </w:t>
      </w:r>
      <w:r>
        <w:t xml:space="preserve">This Quotation Estimate covers services delivered by the Doctor General Practitioner as a primary care provider. Specialist referrals, inpatient hospitalisation, and advanced diagnostic imaging (MRI, CT scans) are excluded and will be billed separately at prevailing facility rates.</w:t>
      </w:r>
    </w:p>
    <w:p>
      <w:pPr>
        <w:pStyle w:val="BodyText"/>
      </w:pPr>
      <w:r>
        <w:rPr>
          <w:bCs/>
          <w:b/>
        </w:rPr>
        <w:t xml:space="preserve">3.4 Cancellation and Termination:</w:t>
      </w:r>
      <w:r>
        <w:t xml:space="preserve"> </w:t>
      </w:r>
      <w:r>
        <w:t xml:space="preserve">Either party may terminate this engagement with thirty (30) days written notice. In the event of early termination by the client, all services rendered up to the termination date shall be invoiced in full.</w:t>
      </w:r>
    </w:p>
    <w:p>
      <w:pPr>
        <w:pStyle w:val="BodyText"/>
      </w:pPr>
      <w:r>
        <w:rPr>
          <w:bCs/>
          <w:b/>
        </w:rPr>
        <w:t xml:space="preserve">3.5 Confidentiality:</w:t>
      </w:r>
      <w:r>
        <w:t xml:space="preserve"> </w:t>
      </w:r>
      <w:r>
        <w:t xml:space="preserve">All patient records and medical data handled by the Doctor General Practitioner shall be protected in accordance with the Kenya Data Protection Act, 2019, and the Medical Council of Kenya's Code of Ethics.</w:t>
      </w:r>
    </w:p>
    <w:p>
      <w:pPr>
        <w:pStyle w:val="BodyText"/>
      </w:pPr>
      <w:r>
        <w:rPr>
          <w:bCs/>
          <w:b/>
        </w:rPr>
        <w:t xml:space="preserve">3.6 Dispute Resolution:</w:t>
      </w:r>
      <w:r>
        <w:t xml:space="preserve"> </w:t>
      </w:r>
      <w:r>
        <w:t xml:space="preserve">Any disputes arising from this Quotation Estimate shall be resolved through mediation under the auspices of the Nairobi County Dispute Resolution Centre, failing which the matter shall be referred to the High Court of Kenya in Nairobi.</w:t>
      </w:r>
    </w:p>
    <w:bookmarkEnd w:id="23"/>
    <w:bookmarkStart w:id="24" w:name="additional-notes"/>
    <w:p>
      <w:pPr>
        <w:pStyle w:val="Heading2"/>
      </w:pPr>
      <w:r>
        <w:t xml:space="preserve">4. Additional Notes</w:t>
      </w:r>
    </w:p>
    <w:p>
      <w:pPr>
        <w:pStyle w:val="FirstParagraph"/>
      </w:pPr>
      <w:r>
        <w:rPr>
          <w:bCs/>
          <w:b/>
        </w:rPr>
        <w:t xml:space="preserve">Important:</w:t>
      </w:r>
      <w:r>
        <w:t xml:space="preserve"> </w:t>
      </w:r>
      <w:r>
        <w:t xml:space="preserve">This Quotation Estimate is a good-faith estimate of costs and does not constitute a binding contract until both parties have executed the formal Service Agreement. The Doctor General Practitioner reserves the right to adjust service delivery schedules based on patient acuity and clinical necessity. All services will be delivered at the Nairobi Medical Associates clinic located at 4th Floor, Westgate Business Centre, Kenya Nairobi, or at the client's designated facility as mutually agreed.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and conditions outlined herein. The Doctor General Practitioner and Nairobi Medical Associates Ltd. confirm their readiness to commence services upon receipt of the first quarterly payment.</w:t>
      </w:r>
    </w:p>
    <w:p>
      <w:pPr>
        <w:pStyle w:val="BodyText"/>
      </w:pPr>
      <w:r>
        <w:rPr>
          <w:bCs/>
          <w:b/>
        </w:rPr>
        <w:t xml:space="preserve">For: Nairobi Medical Associates Ltd.</w:t>
      </w:r>
    </w:p>
    <w:p>
      <w:pPr>
        <w:pStyle w:val="BodyText"/>
      </w:pPr>
      <w:r>
        <w:t xml:space="preserve">Dr. Samuel Kiprop, MBChB, PGDip (Gen. Practice)</w:t>
      </w:r>
    </w:p>
    <w:p>
      <w:pPr>
        <w:pStyle w:val="BodyText"/>
      </w:pPr>
      <w:r>
        <w:t xml:space="preserve">Doctor General Practitioner</w:t>
      </w:r>
    </w:p>
    <w:p>
      <w:pPr>
        <w:pStyle w:val="BodyText"/>
      </w:pPr>
      <w:r>
        <w:t xml:space="preserve">Date: ____________________</w:t>
      </w:r>
    </w:p>
    <w:p>
      <w:pPr>
        <w:pStyle w:val="BodyText"/>
      </w:pPr>
      <w:r>
        <w:rPr>
          <w:bCs/>
          <w:b/>
        </w:rPr>
        <w:t xml:space="preserve">For: Mombasa County Health Authority</w:t>
      </w:r>
    </w:p>
    <w:p>
      <w:pPr>
        <w:pStyle w:val="BodyText"/>
      </w:pPr>
      <w:r>
        <w:t xml:space="preserve">Dr. Amina Wanjiku, Procurement Officer</w:t>
      </w:r>
    </w:p>
    <w:p>
      <w:pPr>
        <w:pStyle w:val="BodyText"/>
      </w:pPr>
      <w:r>
        <w:t xml:space="preserve">Kenya Nairobi</w:t>
      </w:r>
    </w:p>
    <w:p>
      <w:pPr>
        <w:pStyle w:val="BodyText"/>
      </w:pPr>
      <w:r>
        <w:t xml:space="preserve">Date: ____________________</w:t>
      </w:r>
    </w:p>
    <w:p>
      <w:pPr>
        <w:pStyle w:val="BodyText"/>
      </w:pPr>
      <w:r>
        <w:t xml:space="preserve">This Quotation Estimate was prepared by Nairobi Medical Associates Ltd., a registered medical practice in Kenya Nairobi.</w:t>
      </w:r>
    </w:p>
    <w:p>
      <w:pPr>
        <w:pStyle w:val="BodyText"/>
      </w:pPr>
      <w:r>
        <w:t xml:space="preserve">Document Reference: QTE-NMB-2025-0347 | Page 1 of 1 | Confidential – For Official Use Only</w:t>
      </w:r>
    </w:p>
    <w:p>
      <w:pPr>
        <w:pStyle w:val="BodyText"/>
      </w:pPr>
      <w:r>
        <w:t xml:space="preserve">© 2025 Nairobi Medical Associates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Kenya Nairobi</dc:title>
  <dc:creator/>
  <dc:language>en</dc:language>
  <cp:keywords/>
  <dcterms:created xsi:type="dcterms:W3CDTF">2026-10-10T06:41:15Z</dcterms:created>
  <dcterms:modified xsi:type="dcterms:W3CDTF">2026-10-10T06:41:15Z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