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t xml:space="preserve">Doctor General Practitioner Services</w:t>
      </w:r>
    </w:p>
    <w:p>
      <w:pPr>
        <w:pStyle w:val="BodyText"/>
      </w:pPr>
      <w:r>
        <w:t xml:space="preserve">Al Salmiya Medical District, Kuwait City, State of Kuwait</w:t>
      </w:r>
    </w:p>
    <w:p>
      <w:pPr>
        <w:pStyle w:val="BodyText"/>
      </w:pPr>
      <w:r>
        <w:t xml:space="preserve">Official Medical Quotation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QTE-KWT-GP-2025-04872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By</w:t>
            </w:r>
          </w:p>
        </w:tc>
        <w:tc>
          <w:tcPr/>
          <w:p>
            <w:pPr>
              <w:pStyle w:val="Compact"/>
              <w:jc w:val="left"/>
            </w:pPr>
            <w:r>
              <w:t xml:space="preserve">Dr. Ahmed Al-Rashidi, Doctor General Practitioner, MBBS, MRCGP</w:t>
            </w:r>
          </w:p>
        </w:tc>
      </w:tr>
      <w:tr>
        <w:tc>
          <w:tcPr/>
          <w:p>
            <w:pPr>
              <w:pStyle w:val="Compact"/>
              <w:jc w:val="left"/>
            </w:pPr>
            <w:r>
              <w:t xml:space="preserve">Practice Address</w:t>
            </w:r>
          </w:p>
        </w:tc>
        <w:tc>
          <w:tcPr/>
          <w:p>
            <w:pPr>
              <w:pStyle w:val="Compact"/>
              <w:jc w:val="left"/>
            </w:pPr>
            <w:r>
              <w:t xml:space="preserve">Suite 412, Al Salmiya Medical Center, Block 7, Al Salmiya, Kuwait City, Kuwait</w:t>
            </w:r>
          </w:p>
        </w:tc>
      </w:tr>
      <w:tr>
        <w:tc>
          <w:tcPr/>
          <w:p>
            <w:pPr>
              <w:pStyle w:val="Compact"/>
              <w:jc w:val="left"/>
            </w:pPr>
            <w:r>
              <w:t xml:space="preserve">Contact</w:t>
            </w:r>
          </w:p>
        </w:tc>
        <w:tc>
          <w:tcPr/>
          <w:p>
            <w:pPr>
              <w:pStyle w:val="Compact"/>
              <w:jc w:val="left"/>
            </w:pPr>
            <w:r>
              <w:t xml:space="preserve">Phone: +965 2244 8890 | Email: gp.salmiya@kuwaitmed.kw</w:t>
            </w:r>
          </w:p>
        </w:tc>
      </w:tr>
      <w:tr>
        <w:tc>
          <w:tcPr/>
          <w:p>
            <w:pPr>
              <w:pStyle w:val="Compact"/>
              <w:jc w:val="left"/>
            </w:pPr>
            <w:r>
              <w:t xml:space="preserve">Client / Patient Name</w:t>
            </w:r>
          </w:p>
        </w:tc>
        <w:tc>
          <w:tcPr/>
          <w:p>
            <w:pPr>
              <w:pStyle w:val="Compact"/>
              <w:jc w:val="left"/>
            </w:pPr>
            <w:r>
              <w:t xml:space="preserve">[To be completed upon acceptance]</w:t>
            </w:r>
          </w:p>
        </w:tc>
      </w:tr>
      <w:tr>
        <w:tc>
          <w:tcPr/>
          <w:p>
            <w:pPr>
              <w:pStyle w:val="Compact"/>
              <w:jc w:val="left"/>
            </w:pPr>
            <w:r>
              <w:t xml:space="preserve">Client Nationality / Residency</w:t>
            </w:r>
          </w:p>
        </w:tc>
        <w:tc>
          <w:tcPr/>
          <w:p>
            <w:pPr>
              <w:pStyle w:val="Compact"/>
              <w:jc w:val="left"/>
            </w:pPr>
            <w:r>
              <w:t xml:space="preserve">[To be completed upon acceptance]</w:t>
            </w:r>
          </w:p>
        </w:tc>
      </w:tr>
      <w:tr>
        <w:tc>
          <w:tcPr/>
          <w:p>
            <w:pPr>
              <w:pStyle w:val="Compact"/>
              <w:jc w:val="left"/>
            </w:pPr>
            <w:r>
              <w:t xml:space="preserve">Insurance Provider (if applicable)</w:t>
            </w:r>
          </w:p>
        </w:tc>
        <w:tc>
          <w:tcPr/>
          <w:p>
            <w:pPr>
              <w:pStyle w:val="Compact"/>
              <w:jc w:val="left"/>
            </w:pPr>
            <w:r>
              <w:t xml:space="preserve">[To be completed upon acceptance]</w:t>
            </w:r>
          </w:p>
        </w:tc>
      </w:tr>
    </w:tbl>
    <w:bookmarkStart w:id="21" w:name="purpose-of-this-quotation-estimate"/>
    <w:p>
      <w:pPr>
        <w:pStyle w:val="Heading2"/>
      </w:pPr>
      <w:r>
        <w:t xml:space="preserve">1. Purpose of This Quotation Estimate</w:t>
      </w:r>
    </w:p>
    <w:p>
      <w:pPr>
        <w:pStyle w:val="FirstParagraph"/>
      </w:pPr>
      <w:r>
        <w:t xml:space="preserve">This Quotation Estimate is issued by the undersigned Doctor General Practitioner to provide a comprehensive, transparent, and itemized breakdown of all anticipated medical consultation fees, diagnostic procedures, and ancillary services to be rendered at our practice located in Kuwait City, Kuwait. This document serves as a formal financial proposal and does not constitute a binding contract until accepted in writing by the client or their authorized representative. All pricing is quoted in Kuwaiti Dinar (KWD) and reflects the current fee schedule of the Doctor General Practitioner clinic as of the date of issue.</w:t>
      </w:r>
    </w:p>
    <w:bookmarkEnd w:id="21"/>
    <w:bookmarkStart w:id="22" w:name="Xb941ec033c1afb0dbd940086c72cd4891a4c725"/>
    <w:p>
      <w:pPr>
        <w:pStyle w:val="Heading2"/>
      </w:pPr>
      <w:r>
        <w:t xml:space="preserve">2. Scope of Services – Doctor General Practitioner</w:t>
      </w:r>
    </w:p>
    <w:p>
      <w:pPr>
        <w:pStyle w:val="FirstParagraph"/>
      </w:pPr>
      <w:r>
        <w:t xml:space="preserve">The Doctor General Practitioner at this Kuwait City facility provides a full spectrum of primary care medical services. The scope of this Quotation Estimate encompasses the following categories of care, each tailored to the individual health needs of the patient while adhering to the standards set by the Kuwait Ministry of Health and the Kuwait Medical Specialization Commission: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 Price (KWD)</w:t>
            </w:r>
          </w:p>
        </w:tc>
        <w:tc>
          <w:tcPr/>
          <w:p>
            <w:pPr>
              <w:pStyle w:val="Compact"/>
              <w:jc w:val="left"/>
            </w:pPr>
            <w:r>
              <w:t xml:space="preserve">Estimated Total (KWD)</w:t>
            </w:r>
          </w:p>
        </w:tc>
      </w:tr>
      <w:tr>
        <w:tc>
          <w:tcPr/>
          <w:p>
            <w:pPr>
              <w:pStyle w:val="Compact"/>
              <w:jc w:val="left"/>
            </w:pPr>
            <w:r>
              <w:t xml:space="preserve">1</w:t>
            </w:r>
          </w:p>
        </w:tc>
        <w:tc>
          <w:tcPr/>
          <w:p>
            <w:pPr>
              <w:pStyle w:val="Compact"/>
              <w:jc w:val="left"/>
            </w:pPr>
            <w:r>
              <w:t xml:space="preserve">Initial Comprehensive Consultation with Doctor General Practitioner (history, physical examination, preliminary assessment)</w:t>
            </w:r>
          </w:p>
        </w:tc>
        <w:tc>
          <w:tcPr/>
          <w:p>
            <w:pPr>
              <w:pStyle w:val="Compact"/>
              <w:jc w:val="left"/>
            </w:pPr>
            <w:r>
              <w:t xml:space="preserve">1 session / 45 min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t xml:space="preserve">Follow-up Consultation with Doctor General Practitioner (treatment review, medication adjustment, progress monitoring)</w:t>
            </w:r>
          </w:p>
        </w:tc>
        <w:tc>
          <w:tcPr/>
          <w:p>
            <w:pPr>
              <w:pStyle w:val="Compact"/>
              <w:jc w:val="left"/>
            </w:pPr>
            <w:r>
              <w:t xml:space="preserve">4 sessions / 30 min each</w:t>
            </w:r>
          </w:p>
        </w:tc>
        <w:tc>
          <w:tcPr/>
          <w:p>
            <w:pPr>
              <w:pStyle w:val="Compact"/>
              <w:jc w:val="left"/>
            </w:pPr>
            <w:r>
              <w:t xml:space="preserve">10.000</w:t>
            </w:r>
          </w:p>
        </w:tc>
        <w:tc>
          <w:tcPr/>
          <w:p>
            <w:pPr>
              <w:pStyle w:val="Compact"/>
              <w:jc w:val="left"/>
            </w:pPr>
            <w:r>
              <w:t xml:space="preserve">40.000</w:t>
            </w:r>
          </w:p>
        </w:tc>
      </w:tr>
      <w:tr>
        <w:tc>
          <w:tcPr/>
          <w:p>
            <w:pPr>
              <w:pStyle w:val="Compact"/>
              <w:jc w:val="left"/>
            </w:pPr>
            <w:r>
              <w:t xml:space="preserve">3</w:t>
            </w:r>
          </w:p>
        </w:tc>
        <w:tc>
          <w:tcPr/>
          <w:p>
            <w:pPr>
              <w:pStyle w:val="Compact"/>
              <w:jc w:val="left"/>
            </w:pPr>
            <w:r>
              <w:t xml:space="preserve">Full Blood Panel (CBC, FBC, metabolic panel, lipid profile, liver and renal function tests)</w:t>
            </w:r>
          </w:p>
        </w:tc>
        <w:tc>
          <w:tcPr/>
          <w:p>
            <w:pPr>
              <w:pStyle w:val="Compact"/>
              <w:jc w:val="left"/>
            </w:pPr>
            <w:r>
              <w:t xml:space="preserve">1 set</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4</w:t>
            </w:r>
          </w:p>
        </w:tc>
        <w:tc>
          <w:tcPr/>
          <w:p>
            <w:pPr>
              <w:pStyle w:val="Compact"/>
              <w:jc w:val="left"/>
            </w:pPr>
            <w:r>
              <w:t xml:space="preserve">Urine Analysis and Microscopy</w:t>
            </w:r>
          </w:p>
        </w:tc>
        <w:tc>
          <w:tcPr/>
          <w:p>
            <w:pPr>
              <w:pStyle w:val="Compact"/>
              <w:jc w:val="left"/>
            </w:pPr>
            <w:r>
              <w:t xml:space="preserve">1 test</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5</w:t>
            </w:r>
          </w:p>
        </w:tc>
        <w:tc>
          <w:tcPr/>
          <w:p>
            <w:pPr>
              <w:pStyle w:val="Compact"/>
              <w:jc w:val="left"/>
            </w:pPr>
            <w:r>
              <w:t xml:space="preserve">12-Lead Electrocardiogram (ECG / EKG) with Doctor General Practitioner interpretation</w:t>
            </w:r>
          </w:p>
        </w:tc>
        <w:tc>
          <w:tcPr/>
          <w:p>
            <w:pPr>
              <w:pStyle w:val="Compact"/>
              <w:jc w:val="left"/>
            </w:pPr>
            <w:r>
              <w:t xml:space="preserve">1 test</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6</w:t>
            </w:r>
          </w:p>
        </w:tc>
        <w:tc>
          <w:tcPr/>
          <w:p>
            <w:pPr>
              <w:pStyle w:val="Compact"/>
              <w:jc w:val="left"/>
            </w:pPr>
            <w:r>
              <w:t xml:space="preserve">Chest X-Ray (PA and Lateral views) – referred to partner radiology unit in Kuwait City</w:t>
            </w:r>
          </w:p>
        </w:tc>
        <w:tc>
          <w:tcPr/>
          <w:p>
            <w:pPr>
              <w:pStyle w:val="Compact"/>
              <w:jc w:val="left"/>
            </w:pPr>
            <w:r>
              <w:t xml:space="preserve">1 set</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7</w:t>
            </w:r>
          </w:p>
        </w:tc>
        <w:tc>
          <w:tcPr/>
          <w:p>
            <w:pPr>
              <w:pStyle w:val="Compact"/>
              <w:jc w:val="left"/>
            </w:pPr>
            <w:r>
              <w:t xml:space="preserve">Prescription and Medication Management (including chronic disease management plan)</w:t>
            </w:r>
          </w:p>
        </w:tc>
        <w:tc>
          <w:tcPr/>
          <w:p>
            <w:pPr>
              <w:pStyle w:val="Compact"/>
              <w:jc w:val="left"/>
            </w:pPr>
            <w:r>
              <w:t xml:space="preserve">Per consultation</w:t>
            </w:r>
          </w:p>
        </w:tc>
        <w:tc>
          <w:tcPr/>
          <w:p>
            <w:pPr>
              <w:pStyle w:val="Compact"/>
              <w:jc w:val="left"/>
            </w:pPr>
            <w:r>
              <w:t xml:space="preserve">5.000</w:t>
            </w:r>
          </w:p>
        </w:tc>
        <w:tc>
          <w:tcPr/>
          <w:p>
            <w:pPr>
              <w:pStyle w:val="Compact"/>
              <w:jc w:val="left"/>
            </w:pPr>
            <w:r>
              <w:t xml:space="preserve">20.000</w:t>
            </w:r>
          </w:p>
        </w:tc>
      </w:tr>
      <w:tr>
        <w:tc>
          <w:tcPr/>
          <w:p>
            <w:pPr>
              <w:pStyle w:val="Compact"/>
              <w:jc w:val="left"/>
            </w:pPr>
            <w:r>
              <w:t xml:space="preserve">8</w:t>
            </w:r>
          </w:p>
        </w:tc>
        <w:tc>
          <w:tcPr/>
          <w:p>
            <w:pPr>
              <w:pStyle w:val="Compact"/>
              <w:jc w:val="left"/>
            </w:pPr>
            <w:r>
              <w:t xml:space="preserve">Health Education and Lifestyle Counseling (nutrition, exercise, smoking cessation guidance)</w:t>
            </w:r>
          </w:p>
        </w:tc>
        <w:tc>
          <w:tcPr/>
          <w:p>
            <w:pPr>
              <w:pStyle w:val="Compact"/>
              <w:jc w:val="left"/>
            </w:pPr>
            <w:r>
              <w:t xml:space="preserve">2 sessions / 20 min</w:t>
            </w:r>
          </w:p>
        </w:tc>
        <w:tc>
          <w:tcPr/>
          <w:p>
            <w:pPr>
              <w:pStyle w:val="Compact"/>
              <w:jc w:val="left"/>
            </w:pPr>
            <w:r>
              <w:t xml:space="preserve">8.000</w:t>
            </w:r>
          </w:p>
        </w:tc>
        <w:tc>
          <w:tcPr/>
          <w:p>
            <w:pPr>
              <w:pStyle w:val="Compact"/>
              <w:jc w:val="left"/>
            </w:pPr>
            <w:r>
              <w:t xml:space="preserve">16.000</w:t>
            </w:r>
          </w:p>
        </w:tc>
      </w:tr>
      <w:tr>
        <w:tc>
          <w:tcPr/>
          <w:p>
            <w:pPr>
              <w:pStyle w:val="Compact"/>
              <w:jc w:val="left"/>
            </w:pPr>
            <w:r>
              <w:t xml:space="preserve">9</w:t>
            </w:r>
          </w:p>
        </w:tc>
        <w:tc>
          <w:tcPr/>
          <w:p>
            <w:pPr>
              <w:pStyle w:val="Compact"/>
              <w:jc w:val="left"/>
            </w:pPr>
            <w:r>
              <w:t xml:space="preserve">Referral Coordination to Specialist (if required) – administrative fee</w:t>
            </w:r>
          </w:p>
        </w:tc>
        <w:tc>
          <w:tcPr/>
          <w:p>
            <w:pPr>
              <w:pStyle w:val="Compact"/>
              <w:jc w:val="left"/>
            </w:pPr>
            <w:r>
              <w:t xml:space="preserve">1 referral</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10</w:t>
            </w:r>
          </w:p>
        </w:tc>
        <w:tc>
          <w:tcPr/>
          <w:p>
            <w:pPr>
              <w:pStyle w:val="Compact"/>
              <w:jc w:val="left"/>
            </w:pPr>
            <w:r>
              <w:t xml:space="preserve">Medical Report and Documentation (bilingual Arabic/English summary for employer or insurance)</w:t>
            </w:r>
          </w:p>
        </w:tc>
        <w:tc>
          <w:tcPr/>
          <w:p>
            <w:pPr>
              <w:pStyle w:val="Compact"/>
              <w:jc w:val="left"/>
            </w:pPr>
            <w:r>
              <w:t xml:space="preserve">1 report</w:t>
            </w:r>
          </w:p>
        </w:tc>
        <w:tc>
          <w:tcPr/>
          <w:p>
            <w:pPr>
              <w:pStyle w:val="Compact"/>
              <w:jc w:val="left"/>
            </w:pPr>
            <w:r>
              <w:t xml:space="preserve">10.000</w:t>
            </w:r>
          </w:p>
        </w:tc>
        <w:tc>
          <w:tcPr/>
          <w:p>
            <w:pPr>
              <w:pStyle w:val="Compact"/>
              <w:jc w:val="left"/>
            </w:pPr>
            <w:r>
              <w:t xml:space="preserve">10.000</w:t>
            </w:r>
          </w:p>
        </w:tc>
      </w:tr>
      <w:tr>
        <w:tc>
          <w:tcPr>
            <w:gridSpan w:val="4"/>
          </w:tcPr>
          <w:p>
            <w:pPr>
              <w:pStyle w:val="Compact"/>
              <w:jc w:val="left"/>
            </w:pPr>
            <w:r>
              <w:t xml:space="preserve">GRAND TOTAL ESTIMATED COST</w:t>
            </w:r>
          </w:p>
        </w:tc>
        <w:tc>
          <w:tcPr/>
          <w:p>
            <w:pPr>
              <w:pStyle w:val="Compact"/>
              <w:jc w:val="left"/>
            </w:pPr>
            <w:r>
              <w:t xml:space="preserve">KWD 169.000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is valid for thirty (30) days from the date of issue. After the expiry date, the Doctor General Practitioner reserves the right to revise fees in accordance with updated practice schedules in Kuwait City.</w:t>
      </w:r>
    </w:p>
    <w:p>
      <w:pPr>
        <w:pStyle w:val="BodyText"/>
      </w:pPr>
      <w:r>
        <w:rPr>
          <w:bCs/>
          <w:b/>
        </w:rPr>
        <w:t xml:space="preserve">3.2</w:t>
      </w:r>
      <w:r>
        <w:t xml:space="preserve"> </w:t>
      </w:r>
      <w:r>
        <w:t xml:space="preserve">All fees are quoted in Kuwaiti Dinar (KWD). No additional Value Added Tax (VAT) applies as medical services are exempt under Kuwaiti tax law.</w:t>
      </w:r>
    </w:p>
    <w:p>
      <w:pPr>
        <w:pStyle w:val="BodyText"/>
      </w:pPr>
      <w:r>
        <w:rPr>
          <w:bCs/>
          <w:b/>
        </w:rPr>
        <w:t xml:space="preserve">3.3</w:t>
      </w:r>
      <w:r>
        <w:t xml:space="preserve"> </w:t>
      </w:r>
      <w:r>
        <w:t xml:space="preserve">Payment is due within fourteen (14) days of service delivery unless otherwise agreed in writing. Accepted payment methods include bank transfer, credit/debit card, and cash at the Kuwait City practice office.</w:t>
      </w:r>
    </w:p>
    <w:p>
      <w:pPr>
        <w:pStyle w:val="BodyText"/>
      </w:pPr>
      <w:r>
        <w:rPr>
          <w:bCs/>
          <w:b/>
        </w:rPr>
        <w:t xml:space="preserve">3.4</w:t>
      </w:r>
      <w:r>
        <w:t xml:space="preserve"> </w:t>
      </w:r>
      <w:r>
        <w:t xml:space="preserve">In the event that the Doctor General Practitioner determines, during the course of treatment, that additional diagnostic tests or specialist referrals are medically necessary, a supplementary Quotation Estimate will be issued prior to any additional charges.</w:t>
      </w:r>
    </w:p>
    <w:p>
      <w:pPr>
        <w:pStyle w:val="BodyText"/>
      </w:pPr>
      <w:r>
        <w:rPr>
          <w:bCs/>
          <w:b/>
        </w:rPr>
        <w:t xml:space="preserve">3.5</w:t>
      </w:r>
      <w:r>
        <w:t xml:space="preserve"> </w:t>
      </w:r>
      <w:r>
        <w:t xml:space="preserve">This Quotation Estimate does not guarantee a specific medical outcome. The Doctor General Practitioner will exercise all reasonable professional judgment in accordance with the Kuwait Medical Code of Ethics.</w:t>
      </w:r>
    </w:p>
    <w:p>
      <w:pPr>
        <w:pStyle w:val="BodyText"/>
      </w:pPr>
      <w:r>
        <w:rPr>
          <w:bCs/>
          <w:b/>
        </w:rPr>
        <w:t xml:space="preserve">3.6</w:t>
      </w:r>
      <w:r>
        <w:t xml:space="preserve"> </w:t>
      </w:r>
      <w:r>
        <w:t xml:space="preserve">Cancellation of scheduled appointments must be made at least twenty-four (24) hours in advance to avoid a no-show fee of KWD 7.500.</w:t>
      </w:r>
    </w:p>
    <w:p>
      <w:pPr>
        <w:pStyle w:val="BodyText"/>
      </w:pPr>
      <w:r>
        <w:rPr>
          <w:bCs/>
          <w:b/>
        </w:rPr>
        <w:t xml:space="preserve">3.7</w:t>
      </w:r>
      <w:r>
        <w:t xml:space="preserve"> </w:t>
      </w:r>
      <w:r>
        <w:t xml:space="preserve">Patient medical records and data are handled in strict compliance with Kuwait's data protection regulations and the confidentiality standards of the Kuwait Ministry of Health.</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Doctor General Practitioner services in Kuwait City, Kuwait, and agrees to the terms and conditions outlined herein. This signature constitutes formal acceptance of the estimated fees and authorizes the Doctor General Practitioner to proceed with the described medical services.</w:t>
      </w:r>
    </w:p>
    <w:p>
      <w:pPr>
        <w:pStyle w:val="BodyText"/>
      </w:pPr>
      <w:r>
        <w:t xml:space="preserve">Doctor General Practitioner (Provider)</w:t>
      </w:r>
    </w:p>
    <w:p>
      <w:pPr>
        <w:pStyle w:val="BodyText"/>
      </w:pPr>
      <w:r>
        <w:t xml:space="preserve">Dr. Ahmed Al-Rashidi</w:t>
      </w:r>
      <w:r>
        <w:br/>
      </w:r>
      <w:r>
        <w:t xml:space="preserve">License No. KMC-GP-2019-3341</w:t>
      </w:r>
      <w:r>
        <w:br/>
      </w:r>
      <w:r>
        <w:t xml:space="preserve">Kuwait Medical Specialization Commission</w:t>
      </w:r>
    </w:p>
    <w:p>
      <w:pPr>
        <w:pStyle w:val="BodyText"/>
      </w:pPr>
      <w:r>
        <w:t xml:space="preserve">Client / Patient (or Authorized Representative)</w:t>
      </w:r>
    </w:p>
    <w:p>
      <w:pPr>
        <w:pStyle w:val="BodyText"/>
      </w:pPr>
      <w:r>
        <w:t xml:space="preserve">Name: _________________________</w:t>
      </w:r>
      <w:r>
        <w:br/>
      </w:r>
      <w:r>
        <w:t xml:space="preserve">ID / Passport No.: _________________________</w:t>
      </w:r>
      <w:r>
        <w:br/>
      </w:r>
      <w:r>
        <w:t xml:space="preserve">Date: _________________________</w:t>
      </w:r>
    </w:p>
    <w:p>
      <w:pPr>
        <w:pStyle w:val="BodyText"/>
      </w:pPr>
      <w:r>
        <w:t xml:space="preserve">This Quotation Estimate was prepared by the Doctor General Practitioner practice in Kuwait City, State of Kuwait. For inquiries or amendments, please contact the practice office at +965 2244 8890 during business hours (Sunday to Thursday, 8:00 AM – 8:00 PM; Friday, 2:00 PM – 8:00 PM). This document is generated electronically and is valid without a physical stamp.</w:t>
      </w:r>
    </w:p>
    <w:p>
      <w:pPr>
        <w:pStyle w:val="BodyText"/>
      </w:pPr>
      <w:r>
        <w:t xml:space="preserve">© 2025 Al Salmiya GP Clinic, Kuwait City, Kuwait.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Kuwait Kuwait City</dc:title>
  <dc:creator/>
  <dc:language>en</dc:language>
  <cp:keywords/>
  <dcterms:created xsi:type="dcterms:W3CDTF">2026-10-10T06:39:38Z</dcterms:created>
  <dcterms:modified xsi:type="dcterms:W3CDTF">2026-10-10T06:39:38Z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