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Medical Services — Doctor General Practitioner — Malaysia Kuala Lumpur</w:t>
      </w:r>
    </w:p>
    <w:bookmarkEnd w:id="20"/>
    <w:bookmarkStart w:id="21" w:name="provider-details"/>
    <w:p>
      <w:pPr>
        <w:pStyle w:val="Heading3"/>
      </w:pPr>
      <w:r>
        <w:t xml:space="preserve">Provider Details</w:t>
      </w:r>
    </w:p>
    <w:p>
      <w:pPr>
        <w:pStyle w:val="FirstParagraph"/>
      </w:pPr>
      <w:r>
        <w:rPr>
          <w:bCs/>
          <w:b/>
        </w:rPr>
        <w:t xml:space="preserve">MediCare KL General Practice Centre</w:t>
      </w:r>
      <w:r>
        <w:br/>
      </w:r>
      <w:r>
        <w:t xml:space="preserve">No. 42, Jalan Sultan Ismail,</w:t>
      </w:r>
      <w:r>
        <w:br/>
      </w:r>
      <w:r>
        <w:t xml:space="preserve">50300 Kuala Lumpur, Malaysia</w:t>
      </w:r>
      <w:r>
        <w:br/>
      </w:r>
      <w:r>
        <w:t xml:space="preserve">Tel: +603-2145 6789</w:t>
      </w:r>
      <w:r>
        <w:br/>
      </w:r>
      <w:r>
        <w:t xml:space="preserve">Email: enquiries@medicarekl.com.my</w:t>
      </w:r>
      <w:r>
        <w:br/>
      </w:r>
      <w:r>
        <w:t xml:space="preserve">Reg. No: KLS/2024/00873</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[To be filled]</w:t>
      </w:r>
      <w:r>
        <w:br/>
      </w:r>
      <w:r>
        <w:rPr>
          <w:bCs/>
          <w:b/>
        </w:rPr>
        <w:t xml:space="preserve">Company/Organization:</w:t>
      </w:r>
      <w:r>
        <w:t xml:space="preserve"> </w:t>
      </w:r>
      <w:r>
        <w:t xml:space="preserve">[To be filled]</w:t>
      </w:r>
      <w:r>
        <w:br/>
      </w:r>
      <w:r>
        <w:rPr>
          <w:bCs/>
          <w:b/>
        </w:rPr>
        <w:t xml:space="preserve">Address:</w:t>
      </w:r>
      <w:r>
        <w:t xml:space="preserve"> </w:t>
      </w:r>
      <w:r>
        <w:t xml:space="preserve">[To be filled]</w:t>
      </w:r>
      <w:r>
        <w:br/>
      </w:r>
      <w:r>
        <w:rPr>
          <w:bCs/>
          <w:b/>
        </w:rPr>
        <w:t xml:space="preserve">Contact No:</w:t>
      </w:r>
      <w:r>
        <w:t xml:space="preserve"> </w:t>
      </w:r>
      <w:r>
        <w:t xml:space="preserve">[To be filled]</w:t>
      </w:r>
      <w:r>
        <w:br/>
      </w:r>
      <w:r>
        <w:rPr>
          <w:bCs/>
          <w:b/>
        </w:rPr>
        <w:t xml:space="preserve">Email:</w:t>
      </w:r>
      <w:r>
        <w:t xml:space="preserve"> </w:t>
      </w:r>
      <w:r>
        <w:t xml:space="preserve">[To be filled]</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QTE-KL-2025-0472</w:t>
            </w:r>
          </w:p>
        </w:tc>
        <w:tc>
          <w:tcPr/>
          <w:p>
            <w:pPr>
              <w:pStyle w:val="Compact"/>
              <w:jc w:val="left"/>
            </w:pPr>
            <w:r>
              <w:t xml:space="preserve">Date Issued:</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Prepared By:</w:t>
            </w:r>
          </w:p>
        </w:tc>
        <w:tc>
          <w:tcPr/>
          <w:p>
            <w:pPr>
              <w:pStyle w:val="Compact"/>
              <w:jc w:val="left"/>
            </w:pPr>
            <w:r>
              <w:t xml:space="preserve">Dr. Ahmad Faizal bin Rahman</w:t>
            </w:r>
          </w:p>
        </w:tc>
      </w:tr>
    </w:tbl>
    <w:bookmarkStart w:id="23" w:name="Xb941ec033c1afb0dbd940086c72cd4891a4c725"/>
    <w:p>
      <w:pPr>
        <w:pStyle w:val="Heading2"/>
      </w:pPr>
      <w:r>
        <w:t xml:space="preserve">1. Scope of Services — Doctor General Practitioner</w:t>
      </w:r>
    </w:p>
    <w:p>
      <w:pPr>
        <w:pStyle w:val="FirstParagraph"/>
      </w:pPr>
      <w:r>
        <w:t xml:space="preserve">This</w:t>
      </w:r>
      <w:r>
        <w:t xml:space="preserve"> </w:t>
      </w:r>
      <w:r>
        <w:t xml:space="preserve">Quotation Estimate</w:t>
      </w:r>
      <w:r>
        <w:t xml:space="preserve"> </w:t>
      </w:r>
      <w:r>
        <w:t xml:space="preserve">is issued by MediCare KL General Practice Centre, a licensed and registered medical facility operating in</w:t>
      </w:r>
      <w:r>
        <w:t xml:space="preserve"> </w:t>
      </w:r>
      <w:r>
        <w:t xml:space="preserve">Malaysia Kuala Lumpur</w:t>
      </w:r>
      <w:r>
        <w:t xml:space="preserve">, to provide comprehensive primary healthcare services delivered by a qualified</w:t>
      </w:r>
      <w:r>
        <w:t xml:space="preserve"> </w:t>
      </w:r>
      <w:r>
        <w:t xml:space="preserve">Doctor General Practitioner</w:t>
      </w:r>
      <w:r>
        <w:t xml:space="preserve">. The services outlined below are designed to meet the ongoing medical needs of the client and/or the client's employees, in full compliance with the Malaysian Medical Council (MMC) regulations and the Ministry of Health Malaysia (MOH) guidelines.</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Comprehensive General Practitioner Consultation (Doctor General Practitioner, MMC-registered) including history taking, physical examination, and clinical assessment</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RM 180.00</w:t>
            </w:r>
          </w:p>
        </w:tc>
        <w:tc>
          <w:tcPr/>
          <w:p>
            <w:pPr>
              <w:pStyle w:val="Compact"/>
              <w:jc w:val="left"/>
            </w:pPr>
            <w:r>
              <w:t xml:space="preserve">RM 2,160.00</w:t>
            </w:r>
          </w:p>
        </w:tc>
      </w:tr>
      <w:tr>
        <w:tc>
          <w:tcPr/>
          <w:p>
            <w:pPr>
              <w:pStyle w:val="Compact"/>
              <w:jc w:val="left"/>
            </w:pPr>
            <w:r>
              <w:t xml:space="preserve">2</w:t>
            </w:r>
          </w:p>
        </w:tc>
        <w:tc>
          <w:tcPr/>
          <w:p>
            <w:pPr>
              <w:pStyle w:val="Compact"/>
              <w:jc w:val="left"/>
            </w:pPr>
            <w:r>
              <w:t xml:space="preserve">Annual Health Screening Package (blood work, ECG, chest X-ray, urinalysis, BMI assessment) administered by the Doctor General Practitioner</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RM 850.00</w:t>
            </w:r>
          </w:p>
        </w:tc>
        <w:tc>
          <w:tcPr/>
          <w:p>
            <w:pPr>
              <w:pStyle w:val="Compact"/>
              <w:jc w:val="left"/>
            </w:pPr>
            <w:r>
              <w:t xml:space="preserve">RM 850.00</w:t>
            </w:r>
          </w:p>
        </w:tc>
      </w:tr>
      <w:tr>
        <w:tc>
          <w:tcPr/>
          <w:p>
            <w:pPr>
              <w:pStyle w:val="Compact"/>
              <w:jc w:val="left"/>
            </w:pPr>
            <w:r>
              <w:t xml:space="preserve">3</w:t>
            </w:r>
          </w:p>
        </w:tc>
        <w:tc>
          <w:tcPr/>
          <w:p>
            <w:pPr>
              <w:pStyle w:val="Compact"/>
              <w:jc w:val="left"/>
            </w:pPr>
            <w:r>
              <w:t xml:space="preserve">Preventive Healthcare &amp; Vaccination Administration (flu shots, tetanus boosters, travel vaccinations) by Doctor General Practitioner</w:t>
            </w:r>
          </w:p>
        </w:tc>
        <w:tc>
          <w:tcPr/>
          <w:p>
            <w:pPr>
              <w:pStyle w:val="Compact"/>
              <w:jc w:val="left"/>
            </w:pPr>
            <w:r>
              <w:t xml:space="preserve">As required</w:t>
            </w:r>
          </w:p>
        </w:tc>
        <w:tc>
          <w:tcPr/>
          <w:p>
            <w:pPr>
              <w:pStyle w:val="Compact"/>
              <w:jc w:val="left"/>
            </w:pPr>
            <w:r>
              <w:t xml:space="preserve">4</w:t>
            </w:r>
          </w:p>
        </w:tc>
        <w:tc>
          <w:tcPr/>
          <w:p>
            <w:pPr>
              <w:pStyle w:val="Compact"/>
              <w:jc w:val="left"/>
            </w:pPr>
            <w:r>
              <w:t xml:space="preserve">RM 120.00</w:t>
            </w:r>
          </w:p>
        </w:tc>
        <w:tc>
          <w:tcPr/>
          <w:p>
            <w:pPr>
              <w:pStyle w:val="Compact"/>
              <w:jc w:val="left"/>
            </w:pPr>
            <w:r>
              <w:t xml:space="preserve">RM 480.00</w:t>
            </w:r>
          </w:p>
        </w:tc>
      </w:tr>
      <w:tr>
        <w:tc>
          <w:tcPr/>
          <w:p>
            <w:pPr>
              <w:pStyle w:val="Compact"/>
              <w:jc w:val="left"/>
            </w:pPr>
            <w:r>
              <w:t xml:space="preserve">4</w:t>
            </w:r>
          </w:p>
        </w:tc>
        <w:tc>
          <w:tcPr/>
          <w:p>
            <w:pPr>
              <w:pStyle w:val="Compact"/>
              <w:jc w:val="left"/>
            </w:pPr>
            <w:r>
              <w:t xml:space="preserve">Chronic Disease Management (diabetes, hypertension, asthma) with quarterly follow-up by Doctor General Practitioner</w:t>
            </w:r>
          </w:p>
        </w:tc>
        <w:tc>
          <w:tcPr/>
          <w:p>
            <w:pPr>
              <w:pStyle w:val="Compact"/>
              <w:jc w:val="left"/>
            </w:pPr>
            <w:r>
              <w:t xml:space="preserve">Quarterly</w:t>
            </w:r>
          </w:p>
        </w:tc>
        <w:tc>
          <w:tcPr/>
          <w:p>
            <w:pPr>
              <w:pStyle w:val="Compact"/>
              <w:jc w:val="left"/>
            </w:pPr>
            <w:r>
              <w:t xml:space="preserve">4</w:t>
            </w:r>
          </w:p>
        </w:tc>
        <w:tc>
          <w:tcPr/>
          <w:p>
            <w:pPr>
              <w:pStyle w:val="Compact"/>
              <w:jc w:val="left"/>
            </w:pPr>
            <w:r>
              <w:t xml:space="preserve">RM 220.00</w:t>
            </w:r>
          </w:p>
        </w:tc>
        <w:tc>
          <w:tcPr/>
          <w:p>
            <w:pPr>
              <w:pStyle w:val="Compact"/>
              <w:jc w:val="left"/>
            </w:pPr>
            <w:r>
              <w:t xml:space="preserve">RM 880.00</w:t>
            </w:r>
          </w:p>
        </w:tc>
      </w:tr>
      <w:tr>
        <w:tc>
          <w:tcPr/>
          <w:p>
            <w:pPr>
              <w:pStyle w:val="Compact"/>
              <w:jc w:val="left"/>
            </w:pPr>
            <w:r>
              <w:t xml:space="preserve">5</w:t>
            </w:r>
          </w:p>
        </w:tc>
        <w:tc>
          <w:tcPr/>
          <w:p>
            <w:pPr>
              <w:pStyle w:val="Compact"/>
              <w:jc w:val="left"/>
            </w:pPr>
            <w:r>
              <w:t xml:space="preserve">On-Call Medical Advisory Service (telephone/telehealth consultation with Doctor General Practitioner, 24/7 availability)</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RM 350.00</w:t>
            </w:r>
          </w:p>
        </w:tc>
        <w:tc>
          <w:tcPr/>
          <w:p>
            <w:pPr>
              <w:pStyle w:val="Compact"/>
              <w:jc w:val="left"/>
            </w:pPr>
            <w:r>
              <w:t xml:space="preserve">RM 4,200.00</w:t>
            </w:r>
          </w:p>
        </w:tc>
      </w:tr>
      <w:tr>
        <w:tc>
          <w:tcPr/>
          <w:p>
            <w:pPr>
              <w:pStyle w:val="Compact"/>
              <w:jc w:val="left"/>
            </w:pPr>
            <w:r>
              <w:t xml:space="preserve">6</w:t>
            </w:r>
          </w:p>
        </w:tc>
        <w:tc>
          <w:tcPr/>
          <w:p>
            <w:pPr>
              <w:pStyle w:val="Compact"/>
              <w:jc w:val="left"/>
            </w:pPr>
            <w:r>
              <w:t xml:space="preserve">Medical Certificate &amp; Fitness-to-Work Assessment issued by Doctor General Practitioner (Malaysia Kuala Lumpur jurisdiction)</w:t>
            </w:r>
          </w:p>
        </w:tc>
        <w:tc>
          <w:tcPr/>
          <w:p>
            <w:pPr>
              <w:pStyle w:val="Compact"/>
              <w:jc w:val="left"/>
            </w:pPr>
            <w:r>
              <w:t xml:space="preserve">As required</w:t>
            </w:r>
          </w:p>
        </w:tc>
        <w:tc>
          <w:tcPr/>
          <w:p>
            <w:pPr>
              <w:pStyle w:val="Compact"/>
              <w:jc w:val="left"/>
            </w:pPr>
            <w:r>
              <w:t xml:space="preserve">6</w:t>
            </w:r>
          </w:p>
        </w:tc>
        <w:tc>
          <w:tcPr/>
          <w:p>
            <w:pPr>
              <w:pStyle w:val="Compact"/>
              <w:jc w:val="left"/>
            </w:pPr>
            <w:r>
              <w:t xml:space="preserve">RM 95.00</w:t>
            </w:r>
          </w:p>
        </w:tc>
        <w:tc>
          <w:tcPr/>
          <w:p>
            <w:pPr>
              <w:pStyle w:val="Compact"/>
              <w:jc w:val="left"/>
            </w:pPr>
            <w:r>
              <w:t xml:space="preserve">RM 570.00</w:t>
            </w:r>
          </w:p>
        </w:tc>
      </w:tr>
      <w:tr>
        <w:tc>
          <w:tcPr/>
          <w:p>
            <w:pPr>
              <w:pStyle w:val="Compact"/>
              <w:jc w:val="left"/>
            </w:pPr>
            <w:r>
              <w:t xml:space="preserve">7</w:t>
            </w:r>
          </w:p>
        </w:tc>
        <w:tc>
          <w:tcPr/>
          <w:p>
            <w:pPr>
              <w:pStyle w:val="Compact"/>
              <w:jc w:val="left"/>
            </w:pPr>
            <w:r>
              <w:t xml:space="preserve">Health Education &amp; Wellness Workshop (delivered by Doctor General Practitioner to client's staff, up to 50 pax)</w:t>
            </w:r>
          </w:p>
        </w:tc>
        <w:tc>
          <w:tcPr/>
          <w:p>
            <w:pPr>
              <w:pStyle w:val="Compact"/>
              <w:jc w:val="left"/>
            </w:pPr>
            <w:r>
              <w:t xml:space="preserve">Bi-annual</w:t>
            </w:r>
          </w:p>
        </w:tc>
        <w:tc>
          <w:tcPr/>
          <w:p>
            <w:pPr>
              <w:pStyle w:val="Compact"/>
              <w:jc w:val="left"/>
            </w:pPr>
            <w:r>
              <w:t xml:space="preserve">2</w:t>
            </w:r>
          </w:p>
        </w:tc>
        <w:tc>
          <w:tcPr/>
          <w:p>
            <w:pPr>
              <w:pStyle w:val="Compact"/>
              <w:jc w:val="left"/>
            </w:pPr>
            <w:r>
              <w:t xml:space="preserve">RM 1,500.00</w:t>
            </w:r>
          </w:p>
        </w:tc>
        <w:tc>
          <w:tcPr/>
          <w:p>
            <w:pPr>
              <w:pStyle w:val="Compact"/>
              <w:jc w:val="left"/>
            </w:pPr>
            <w:r>
              <w:t xml:space="preserve">RM 3,000.00</w:t>
            </w:r>
          </w:p>
        </w:tc>
      </w:tr>
      <w:tr>
        <w:tc>
          <w:tcPr/>
          <w:p>
            <w:pPr>
              <w:pStyle w:val="Compact"/>
              <w:jc w:val="left"/>
            </w:pPr>
            <w:r>
              <w:t xml:space="preserve">8</w:t>
            </w:r>
          </w:p>
        </w:tc>
        <w:tc>
          <w:tcPr/>
          <w:p>
            <w:pPr>
              <w:pStyle w:val="Compact"/>
              <w:jc w:val="left"/>
            </w:pPr>
            <w:r>
              <w:t xml:space="preserve">Referral Coordination &amp; Specialist Liaison (Doctor General Practitioner to arrange and coordinate specialist appointments within Kuala Lumpur hospitals)</w:t>
            </w:r>
          </w:p>
        </w:tc>
        <w:tc>
          <w:tcPr/>
          <w:p>
            <w:pPr>
              <w:pStyle w:val="Compact"/>
              <w:jc w:val="left"/>
            </w:pPr>
            <w:r>
              <w:t xml:space="preserve">As required</w:t>
            </w:r>
          </w:p>
        </w:tc>
        <w:tc>
          <w:tcPr/>
          <w:p>
            <w:pPr>
              <w:pStyle w:val="Compact"/>
              <w:jc w:val="left"/>
            </w:pPr>
            <w:r>
              <w:t xml:space="preserve">3</w:t>
            </w:r>
          </w:p>
        </w:tc>
        <w:tc>
          <w:tcPr/>
          <w:p>
            <w:pPr>
              <w:pStyle w:val="Compact"/>
              <w:jc w:val="left"/>
            </w:pPr>
            <w:r>
              <w:t xml:space="preserve">RM 250.00</w:t>
            </w:r>
          </w:p>
        </w:tc>
        <w:tc>
          <w:tcPr/>
          <w:p>
            <w:pPr>
              <w:pStyle w:val="Compact"/>
              <w:jc w:val="left"/>
            </w:pPr>
            <w:r>
              <w:t xml:space="preserve">RM 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12,890.00</w:t>
            </w:r>
          </w:p>
        </w:tc>
      </w:tr>
      <w:tr>
        <w:tc>
          <w:tcPr/>
          <w:p>
            <w:pPr>
              <w:pStyle w:val="Compact"/>
              <w:jc w:val="left"/>
            </w:pPr>
            <w:r>
              <w:t xml:space="preserve">SST (6%)</w:t>
            </w:r>
          </w:p>
        </w:tc>
        <w:tc>
          <w:tcPr/>
          <w:p>
            <w:pPr>
              <w:pStyle w:val="Compact"/>
              <w:jc w:val="left"/>
            </w:pPr>
            <w:r>
              <w:t xml:space="preserve">RM 773.40</w:t>
            </w:r>
          </w:p>
        </w:tc>
      </w:tr>
      <w:tr>
        <w:tc>
          <w:tcPr/>
          <w:p>
            <w:pPr>
              <w:pStyle w:val="Compact"/>
              <w:jc w:val="left"/>
            </w:pPr>
            <w:r>
              <w:t xml:space="preserve">Discount (Corporate Rate 5%)</w:t>
            </w:r>
          </w:p>
        </w:tc>
        <w:tc>
          <w:tcPr/>
          <w:p>
            <w:pPr>
              <w:pStyle w:val="Compact"/>
              <w:jc w:val="left"/>
            </w:pPr>
            <w:r>
              <w:t xml:space="preserve">- RM 644.50</w:t>
            </w:r>
          </w:p>
        </w:tc>
      </w:tr>
      <w:tr>
        <w:tc>
          <w:tcPr/>
          <w:p>
            <w:pPr>
              <w:pStyle w:val="Compact"/>
              <w:jc w:val="left"/>
            </w:pPr>
            <w:r>
              <w:t xml:space="preserve">Grand Total (MYR)</w:t>
            </w:r>
          </w:p>
        </w:tc>
        <w:tc>
          <w:tcPr/>
          <w:p>
            <w:pPr>
              <w:pStyle w:val="Compact"/>
              <w:jc w:val="left"/>
            </w:pPr>
            <w:r>
              <w:t xml:space="preserve">RM 13,018.90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services requested beyond this period may be subject to revised pricing by the Doctor General Practitioner and the clinic management.</w:t>
      </w:r>
    </w:p>
    <w:p>
      <w:pPr>
        <w:numPr>
          <w:ilvl w:val="0"/>
          <w:numId w:val="1001"/>
        </w:numPr>
        <w:pStyle w:val="Compact"/>
      </w:pPr>
      <w:r>
        <w:t xml:space="preserve">All medical services shall be rendered in accordance with the Malaysian Medical Council (MMC) Code of Ethics and the Private Healthcare Facilities and Services Act 1998 (Act 586) applicable in</w:t>
      </w:r>
      <w:r>
        <w:t xml:space="preserve"> </w:t>
      </w:r>
      <w:r>
        <w:t xml:space="preserve">Malaysia Kuala Lumpur</w:t>
      </w:r>
      <w:r>
        <w:t xml:space="preserve">.</w:t>
      </w:r>
    </w:p>
    <w:p>
      <w:pPr>
        <w:numPr>
          <w:ilvl w:val="0"/>
          <w:numId w:val="1001"/>
        </w:numPr>
        <w:pStyle w:val="Compact"/>
      </w:pPr>
      <w:r>
        <w:t xml:space="preserve">The Doctor General Practitioner providing services under this Quotation Estimate holds a valid MMC registration number and is insured under a professional indemnity policy covering all clinical activities performed at the Kuala Lumpur premises.</w:t>
      </w:r>
    </w:p>
    <w:p>
      <w:pPr>
        <w:numPr>
          <w:ilvl w:val="0"/>
          <w:numId w:val="1001"/>
        </w:numPr>
        <w:pStyle w:val="Compact"/>
      </w:pPr>
      <w:r>
        <w:t xml:space="preserve">Payment terms: 50% advance payment upon acceptance of this Quotation Estimate; the remaining 50% shall be settled within fourteen (14) days of the completion of all contracted services for the billing period.</w:t>
      </w:r>
    </w:p>
    <w:p>
      <w:pPr>
        <w:numPr>
          <w:ilvl w:val="0"/>
          <w:numId w:val="1001"/>
        </w:numPr>
        <w:pStyle w:val="Compact"/>
      </w:pPr>
      <w:r>
        <w:t xml:space="preserve">All amounts are quoted in Malaysian Ringgit (MYR / RM). Service Tax (SST) at 6% is applicable as per the Royal Malaysian Customs Department regulations.</w:t>
      </w:r>
    </w:p>
    <w:p>
      <w:pPr>
        <w:numPr>
          <w:ilvl w:val="0"/>
          <w:numId w:val="1001"/>
        </w:numPr>
        <w:pStyle w:val="Compact"/>
      </w:pPr>
      <w:r>
        <w:t xml:space="preserve">The Doctor General Practitioner reserves the right to refer the patient to a specialist if the clinical condition exceeds the scope of general practice. Referral fees are included in Item 8 above.</w:t>
      </w:r>
    </w:p>
    <w:p>
      <w:pPr>
        <w:numPr>
          <w:ilvl w:val="0"/>
          <w:numId w:val="1001"/>
        </w:numPr>
        <w:pStyle w:val="Compact"/>
      </w:pPr>
      <w:r>
        <w:t xml:space="preserve">Confidentiality: All patient records and medical data shall be handled in strict compliance with the Personal Data Protection Act 2010 (PDPA) of Malaysia. No information shall be disclosed to third parties without written consent.</w:t>
      </w:r>
    </w:p>
    <w:p>
      <w:pPr>
        <w:numPr>
          <w:ilvl w:val="0"/>
          <w:numId w:val="1001"/>
        </w:numPr>
        <w:pStyle w:val="Compact"/>
      </w:pPr>
      <w:r>
        <w:t xml:space="preserve">This Quotation Estimate does not constitute a binding contract until signed and stamped by both parties. Upon acceptance, a formal Service Agreement will be executed.</w:t>
      </w:r>
    </w:p>
    <w:p>
      <w:pPr>
        <w:numPr>
          <w:ilvl w:val="0"/>
          <w:numId w:val="1001"/>
        </w:numPr>
        <w:pStyle w:val="Compact"/>
      </w:pPr>
      <w:r>
        <w:t xml:space="preserve">Any cancellation of scheduled appointments must be made at least 24 hours in advance. Late cancellations or no-shows may incur a 50% fee of the scheduled consultation rate.</w:t>
      </w:r>
    </w:p>
    <w:p>
      <w:pPr>
        <w:numPr>
          <w:ilvl w:val="0"/>
          <w:numId w:val="1001"/>
        </w:numPr>
        <w:pStyle w:val="Compact"/>
      </w:pPr>
      <w:r>
        <w:t xml:space="preserve">All services are to be conducted at the clinic premises located in Kuala Lumpur, Malaysia, unless otherwise agreed in writing for telehealth or on-site corporate visits.</w:t>
      </w:r>
    </w:p>
    <w:bookmarkEnd w:id="25"/>
    <w:bookmarkStart w:id="28" w:name="acceptance-and-authorization"/>
    <w:p>
      <w:pPr>
        <w:pStyle w:val="Heading2"/>
      </w:pPr>
      <w:r>
        <w:t xml:space="preserve">4. Acceptance and Authorization</w:t>
      </w:r>
    </w:p>
    <w:bookmarkStart w:id="26" w:name="for-and-on-behalf-of-the-client"/>
    <w:p>
      <w:pPr>
        <w:pStyle w:val="Heading4"/>
      </w:pPr>
      <w:r>
        <w:t xml:space="preserve">For and on behalf of the Client</w:t>
      </w:r>
    </w:p>
    <w:p>
      <w:pPr>
        <w:pStyle w:val="FirstParagraph"/>
      </w:pPr>
      <w:r>
        <w:t xml:space="preserve">Name: ______________________________</w:t>
      </w:r>
    </w:p>
    <w:p>
      <w:pPr>
        <w:pStyle w:val="BodyText"/>
      </w:pPr>
      <w:r>
        <w:t xml:space="preserve">Designation: ______________________________</w:t>
      </w:r>
    </w:p>
    <w:p>
      <w:pPr>
        <w:pStyle w:val="BodyText"/>
      </w:pPr>
      <w:r>
        <w:t xml:space="preserve">Company: ______________________________</w:t>
      </w:r>
    </w:p>
    <w:p>
      <w:pPr>
        <w:pStyle w:val="BodyText"/>
      </w:pPr>
      <w:r>
        <w:t xml:space="preserve">Date: ______________________________</w:t>
      </w:r>
    </w:p>
    <w:p>
      <w:pPr>
        <w:pStyle w:val="BodyText"/>
      </w:pPr>
      <w:r>
        <w:t xml:space="preserve">Signature &amp; Company Stamp</w:t>
      </w:r>
    </w:p>
    <w:bookmarkEnd w:id="26"/>
    <w:bookmarkStart w:id="27" w:name="X1d8af2d85467740d280d2d0525efb9a9cd3cf24"/>
    <w:p>
      <w:pPr>
        <w:pStyle w:val="Heading4"/>
      </w:pPr>
      <w:r>
        <w:t xml:space="preserve">For and on behalf of the Doctor General Practitioner / Clinic</w:t>
      </w:r>
    </w:p>
    <w:p>
      <w:pPr>
        <w:pStyle w:val="FirstParagraph"/>
      </w:pPr>
      <w:r>
        <w:t xml:space="preserve">Name: Dr. Ahmad Faizal bin Rahman</w:t>
      </w:r>
    </w:p>
    <w:p>
      <w:pPr>
        <w:pStyle w:val="BodyText"/>
      </w:pPr>
      <w:r>
        <w:t xml:space="preserve">Designation: Senior Doctor General Practitioner</w:t>
      </w:r>
    </w:p>
    <w:p>
      <w:pPr>
        <w:pStyle w:val="BodyText"/>
      </w:pPr>
      <w:r>
        <w:t xml:space="preserve">MMC Reg. No: 2019012345</w:t>
      </w:r>
    </w:p>
    <w:p>
      <w:pPr>
        <w:pStyle w:val="BodyText"/>
      </w:pPr>
      <w:r>
        <w:t xml:space="preserve">Date: ______________________________</w:t>
      </w:r>
    </w:p>
    <w:p>
      <w:pPr>
        <w:pStyle w:val="BodyText"/>
      </w:pPr>
      <w:r>
        <w:t xml:space="preserve">Signature &amp; Clinic Stamp</w:t>
      </w:r>
    </w:p>
    <w:bookmarkEnd w:id="27"/>
    <w:p>
      <w:pPr>
        <w:pStyle w:val="BodyText"/>
      </w:pPr>
      <w:r>
        <w:rPr>
          <w:bCs/>
          <w:b/>
        </w:rPr>
        <w:t xml:space="preserve">MediCare KL General Practice Centre</w:t>
      </w:r>
      <w:r>
        <w:t xml:space="preserve"> </w:t>
      </w:r>
      <w:r>
        <w:t xml:space="preserve">— A licensed private medical facility in Malaysia Kuala Lumpur.</w:t>
      </w:r>
      <w:r>
        <w:br/>
      </w:r>
      <w:r>
        <w:t xml:space="preserve">This Quotation Estimate is the property of MediCare KL and is issued solely for the named client. Unauthorized reproduction is prohibited.</w:t>
      </w:r>
      <w:r>
        <w:br/>
      </w:r>
      <w:r>
        <w:t xml:space="preserve">© 2025 MediCare KL General Practice Centre. All rights reserved. | Kuala Lumpur, Malaysia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Malaysia Kuala Lumpur</dc:title>
  <dc:creator/>
  <dc:language>en</dc:language>
  <cp:keywords/>
  <dcterms:created xsi:type="dcterms:W3CDTF">2026-10-10T07:00:38Z</dcterms:created>
  <dcterms:modified xsi:type="dcterms:W3CDTF">2026-10-10T07:00:38Z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