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Doctor General Practitioner Services | Myanmar Yangon</w:t>
      </w:r>
    </w:p>
    <w:bookmarkEnd w:id="20"/>
    <w:p>
      <w:pPr>
        <w:pStyle w:val="BodyText"/>
      </w:pPr>
      <w:r>
        <w:rPr>
          <w:bCs/>
          <w:b/>
        </w:rPr>
        <w:t xml:space="preserve">Yangon Comprehensive Medical Centre</w:t>
      </w:r>
      <w:r>
        <w:br/>
      </w:r>
      <w:r>
        <w:t xml:space="preserve">No. 42, Sule Avenue, Pabedan Township</w:t>
      </w:r>
      <w:r>
        <w:br/>
      </w:r>
      <w:r>
        <w:t xml:space="preserve">Yangon, Myanmar 11181</w:t>
      </w:r>
      <w:r>
        <w:br/>
      </w:r>
      <w:r>
        <w:t xml:space="preserve">Tel: +95-9-795-123-456</w:t>
      </w:r>
      <w:r>
        <w:br/>
      </w:r>
      <w:r>
        <w:t xml:space="preserve">Email: info@ycmc-yangon.com.mm</w:t>
      </w:r>
    </w:p>
    <w:p>
      <w:pPr>
        <w:pStyle w:val="BodyText"/>
      </w:pPr>
      <w:r>
        <w:rPr>
          <w:bCs/>
          <w:b/>
        </w:rPr>
        <w:t xml:space="preserve">Registration No.:</w:t>
      </w:r>
      <w:r>
        <w:t xml:space="preserve"> </w:t>
      </w:r>
      <w:r>
        <w:t xml:space="preserve">MM-MED-2024-0873</w:t>
      </w:r>
      <w:r>
        <w:br/>
      </w:r>
      <w:r>
        <w:rPr>
          <w:bCs/>
          <w:b/>
        </w:rPr>
        <w:t xml:space="preserve">License Authority:</w:t>
      </w:r>
      <w:r>
        <w:t xml:space="preserve"> </w:t>
      </w:r>
      <w:r>
        <w:t xml:space="preserve">Ministry of Health &amp; Sports, Myanmar</w:t>
      </w:r>
      <w:r>
        <w:br/>
      </w:r>
      <w:r>
        <w:rPr>
          <w:bCs/>
          <w:b/>
        </w:rPr>
        <w:t xml:space="preserve">Operating Hours:</w:t>
      </w:r>
      <w:r>
        <w:t xml:space="preserve"> </w:t>
      </w:r>
      <w:r>
        <w:t xml:space="preserve">Mon–Sat, 8:00 AM – 8:00 PM</w:t>
      </w:r>
      <w:r>
        <w:br/>
      </w:r>
      <w:r>
        <w:rPr>
          <w:bCs/>
          <w:b/>
        </w:rPr>
        <w:t xml:space="preserve">Emergency:</w:t>
      </w:r>
      <w:r>
        <w:t xml:space="preserve"> </w:t>
      </w:r>
      <w:r>
        <w:t xml:space="preserve">24/7 Available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QTE-YGN-2025-00347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U Kyaw Min Aung / Aung Family Health Plan</w:t>
            </w:r>
          </w:p>
        </w:tc>
      </w:tr>
      <w:tr>
        <w:tc>
          <w:tcPr/>
          <w:p>
            <w:pPr>
              <w:pStyle w:val="Compact"/>
              <w:jc w:val="left"/>
            </w:pPr>
            <w:r>
              <w:t xml:space="preserve">Client Address</w:t>
            </w:r>
          </w:p>
        </w:tc>
        <w:tc>
          <w:tcPr/>
          <w:p>
            <w:pPr>
              <w:pStyle w:val="Compact"/>
              <w:jc w:val="left"/>
            </w:pPr>
            <w:r>
              <w:t xml:space="preserve">18, Bogyoke Avenue, Kyauktada Township, Yangon, Myanmar</w:t>
            </w:r>
          </w:p>
        </w:tc>
      </w:tr>
      <w:tr>
        <w:tc>
          <w:tcPr/>
          <w:p>
            <w:pPr>
              <w:pStyle w:val="Compact"/>
              <w:jc w:val="left"/>
            </w:pPr>
            <w:r>
              <w:t xml:space="preserve">Client Contact</w:t>
            </w:r>
          </w:p>
        </w:tc>
        <w:tc>
          <w:tcPr/>
          <w:p>
            <w:pPr>
              <w:pStyle w:val="Compact"/>
              <w:jc w:val="left"/>
            </w:pPr>
            <w:r>
              <w:t xml:space="preserve">+95-9-456-789-012 | kmaung@email.com.mm</w:t>
            </w:r>
          </w:p>
        </w:tc>
      </w:tr>
      <w:tr>
        <w:tc>
          <w:tcPr/>
          <w:p>
            <w:pPr>
              <w:pStyle w:val="Compact"/>
              <w:jc w:val="left"/>
            </w:pPr>
            <w:r>
              <w:t xml:space="preserve">Service Category</w:t>
            </w:r>
          </w:p>
        </w:tc>
        <w:tc>
          <w:tcPr/>
          <w:p>
            <w:pPr>
              <w:pStyle w:val="Compact"/>
              <w:jc w:val="left"/>
            </w:pPr>
            <w:r>
              <w:t xml:space="preserve">Doctor General Practitioner – Primary &amp; Preventive Care</w:t>
            </w:r>
          </w:p>
        </w:tc>
      </w:tr>
      <w:tr>
        <w:tc>
          <w:tcPr/>
          <w:p>
            <w:pPr>
              <w:pStyle w:val="Compact"/>
              <w:jc w:val="left"/>
            </w:pPr>
            <w:r>
              <w:t xml:space="preserve">Currency</w:t>
            </w:r>
          </w:p>
        </w:tc>
        <w:tc>
          <w:tcPr/>
          <w:p>
            <w:pPr>
              <w:pStyle w:val="Compact"/>
              <w:jc w:val="left"/>
            </w:pPr>
            <w:r>
              <w:t xml:space="preserve">Myanmar Kyat (MMK)</w:t>
            </w:r>
          </w:p>
        </w:tc>
      </w:tr>
    </w:tbl>
    <w:bookmarkStart w:id="21" w:name="Xb941ec033c1afb0dbd940086c72cd4891a4c725"/>
    <w:p>
      <w:pPr>
        <w:pStyle w:val="Heading2"/>
      </w:pPr>
      <w:r>
        <w:t xml:space="preserve">Scope of Services – Doctor General Practitioner</w:t>
      </w:r>
    </w:p>
    <w:p>
      <w:pPr>
        <w:pStyle w:val="FirstParagraph"/>
      </w:pPr>
      <w:r>
        <w:t xml:space="preserve">This</w:t>
      </w:r>
      <w:r>
        <w:t xml:space="preserve"> </w:t>
      </w:r>
      <w:r>
        <w:t xml:space="preserve">Quotation Estimate</w:t>
      </w:r>
      <w:r>
        <w:t xml:space="preserve"> </w:t>
      </w:r>
      <w:r>
        <w:t xml:space="preserve">outlines the comprehensive range of primary care services to be delivered by our</w:t>
      </w:r>
      <w:r>
        <w:t xml:space="preserve"> </w:t>
      </w:r>
      <w:r>
        <w:t xml:space="preserve">Doctor General Practitioner</w:t>
      </w:r>
      <w:r>
        <w:t xml:space="preserve"> </w:t>
      </w:r>
      <w:r>
        <w:t xml:space="preserve">team at the Yangon Comprehensive Medical Centre, located in the heart of</w:t>
      </w:r>
      <w:r>
        <w:t xml:space="preserve"> </w:t>
      </w:r>
      <w:r>
        <w:t xml:space="preserve">Myanmar Yangon</w:t>
      </w:r>
      <w:r>
        <w:t xml:space="preserve">. The Doctor General Practitioner will serve as the primary point of contact for all routine, preventive, and acute medical needs of the client and immediate family members (up to four dependents). All consultations and procedures are conducted in accordance with the clinical guidelines issued by the Ministry of Health and Sports of the Republic of the Union of Myanmar.</w:t>
      </w:r>
    </w:p>
    <w:bookmarkEnd w:id="21"/>
    <w:bookmarkStart w:id="22" w:name="itemized-services-and-pricing"/>
    <w:p>
      <w:pPr>
        <w:pStyle w:val="Heading2"/>
      </w:pPr>
      <w:r>
        <w:t xml:space="preserve">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(MMK)</w:t>
            </w:r>
          </w:p>
        </w:tc>
        <w:tc>
          <w:tcPr/>
          <w:p>
            <w:pPr>
              <w:pStyle w:val="Compact"/>
              <w:jc w:val="left"/>
            </w:pPr>
            <w:r>
              <w:t xml:space="preserve">Qty</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Initial Doctor General Practitioner Consultation (comprehensive history, physical examination, and health assessment)</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 persons</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Follow-up Doctor General Practitioner Consultation (subsequent visits for ongoing management)</w:t>
            </w:r>
          </w:p>
        </w:tc>
        <w:tc>
          <w:tcPr/>
          <w:p>
            <w:pPr>
              <w:pStyle w:val="Compact"/>
              <w:jc w:val="left"/>
            </w:pPr>
            <w:r>
              <w:t xml:space="preserve">Monthly</w:t>
            </w:r>
          </w:p>
        </w:tc>
        <w:tc>
          <w:tcPr/>
          <w:p>
            <w:pPr>
              <w:pStyle w:val="Compact"/>
              <w:jc w:val="left"/>
            </w:pPr>
            <w:r>
              <w:t xml:space="preserve">35,000</w:t>
            </w:r>
          </w:p>
        </w:tc>
        <w:tc>
          <w:tcPr/>
          <w:p>
            <w:pPr>
              <w:pStyle w:val="Compact"/>
              <w:jc w:val="left"/>
            </w:pPr>
            <w:r>
              <w:t xml:space="preserve">12 visits</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Annual Full-Body Health Screening Package (blood work, urinalysis, chest X-ray, ECG, abdominal ultrasound)</w:t>
            </w:r>
          </w:p>
        </w:tc>
        <w:tc>
          <w:tcPr/>
          <w:p>
            <w:pPr>
              <w:pStyle w:val="Compact"/>
              <w:jc w:val="left"/>
            </w:pPr>
            <w:r>
              <w:t xml:space="preserve">Annually</w:t>
            </w:r>
          </w:p>
        </w:tc>
        <w:tc>
          <w:tcPr/>
          <w:p>
            <w:pPr>
              <w:pStyle w:val="Compact"/>
              <w:jc w:val="left"/>
            </w:pPr>
            <w:r>
              <w:t xml:space="preserve">280,000</w:t>
            </w:r>
          </w:p>
        </w:tc>
        <w:tc>
          <w:tcPr/>
          <w:p>
            <w:pPr>
              <w:pStyle w:val="Compact"/>
              <w:jc w:val="left"/>
            </w:pPr>
            <w:r>
              <w:t xml:space="preserve">4 persons</w:t>
            </w:r>
          </w:p>
        </w:tc>
        <w:tc>
          <w:tcPr/>
          <w:p>
            <w:pPr>
              <w:pStyle w:val="Compact"/>
              <w:jc w:val="left"/>
            </w:pPr>
            <w:r>
              <w:t xml:space="preserve">1,120,000</w:t>
            </w:r>
          </w:p>
        </w:tc>
      </w:tr>
      <w:tr>
        <w:tc>
          <w:tcPr/>
          <w:p>
            <w:pPr>
              <w:pStyle w:val="Compact"/>
              <w:jc w:val="left"/>
            </w:pPr>
            <w:r>
              <w:t xml:space="preserve">4</w:t>
            </w:r>
          </w:p>
        </w:tc>
        <w:tc>
          <w:tcPr/>
          <w:p>
            <w:pPr>
              <w:pStyle w:val="Compact"/>
              <w:jc w:val="left"/>
            </w:pPr>
            <w:r>
              <w:t xml:space="preserve">Preventive Vaccination Administration (MMR, Tetanus, Influenza, Hepatitis B as per Myanmar national schedule)</w:t>
            </w:r>
          </w:p>
        </w:tc>
        <w:tc>
          <w:tcPr/>
          <w:p>
            <w:pPr>
              <w:pStyle w:val="Compact"/>
              <w:jc w:val="left"/>
            </w:pPr>
            <w:r>
              <w:t xml:space="preserve">As required</w:t>
            </w:r>
          </w:p>
        </w:tc>
        <w:tc>
          <w:tcPr/>
          <w:p>
            <w:pPr>
              <w:pStyle w:val="Compact"/>
              <w:jc w:val="left"/>
            </w:pPr>
            <w:r>
              <w:t xml:space="preserve">25,000</w:t>
            </w:r>
          </w:p>
        </w:tc>
        <w:tc>
          <w:tcPr/>
          <w:p>
            <w:pPr>
              <w:pStyle w:val="Compact"/>
              <w:jc w:val="left"/>
            </w:pPr>
            <w:r>
              <w:t xml:space="preserve">8 doses</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Chronic Disease Management (hypertension, type 2 diabetes, asthma monitoring and medication review)</w:t>
            </w:r>
          </w:p>
        </w:tc>
        <w:tc>
          <w:tcPr/>
          <w:p>
            <w:pPr>
              <w:pStyle w:val="Compact"/>
              <w:jc w:val="left"/>
            </w:pPr>
            <w:r>
              <w:t xml:space="preserve">Bi-weekly</w:t>
            </w:r>
          </w:p>
        </w:tc>
        <w:tc>
          <w:tcPr/>
          <w:p>
            <w:pPr>
              <w:pStyle w:val="Compact"/>
              <w:jc w:val="left"/>
            </w:pPr>
            <w:r>
              <w:t xml:space="preserve">30,000</w:t>
            </w:r>
          </w:p>
        </w:tc>
        <w:tc>
          <w:tcPr/>
          <w:p>
            <w:pPr>
              <w:pStyle w:val="Compact"/>
              <w:jc w:val="left"/>
            </w:pPr>
            <w:r>
              <w:t xml:space="preserve">26 visits</w:t>
            </w:r>
          </w:p>
        </w:tc>
        <w:tc>
          <w:tcPr/>
          <w:p>
            <w:pPr>
              <w:pStyle w:val="Compact"/>
              <w:jc w:val="left"/>
            </w:pPr>
            <w:r>
              <w:t xml:space="preserve">780,000</w:t>
            </w:r>
          </w:p>
        </w:tc>
      </w:tr>
      <w:tr>
        <w:tc>
          <w:tcPr/>
          <w:p>
            <w:pPr>
              <w:pStyle w:val="Compact"/>
              <w:jc w:val="left"/>
            </w:pPr>
            <w:r>
              <w:t xml:space="preserve">6</w:t>
            </w:r>
          </w:p>
        </w:tc>
        <w:tc>
          <w:tcPr/>
          <w:p>
            <w:pPr>
              <w:pStyle w:val="Compact"/>
              <w:jc w:val="left"/>
            </w:pPr>
            <w:r>
              <w:t xml:space="preserve">Minor Procedure &amp; Wound Care (suture removal, dressing changes, minor laceration repair by Doctor General Practitioner)</w:t>
            </w:r>
          </w:p>
        </w:tc>
        <w:tc>
          <w:tcPr/>
          <w:p>
            <w:pPr>
              <w:pStyle w:val="Compact"/>
              <w:jc w:val="left"/>
            </w:pPr>
            <w:r>
              <w:t xml:space="preserve">As needed</w:t>
            </w:r>
          </w:p>
        </w:tc>
        <w:tc>
          <w:tcPr/>
          <w:p>
            <w:pPr>
              <w:pStyle w:val="Compact"/>
              <w:jc w:val="left"/>
            </w:pPr>
            <w:r>
              <w:t xml:space="preserve">55,000</w:t>
            </w:r>
          </w:p>
        </w:tc>
        <w:tc>
          <w:tcPr/>
          <w:p>
            <w:pPr>
              <w:pStyle w:val="Compact"/>
              <w:jc w:val="left"/>
            </w:pPr>
            <w:r>
              <w:t xml:space="preserve">6 sessions</w:t>
            </w:r>
          </w:p>
        </w:tc>
        <w:tc>
          <w:tcPr/>
          <w:p>
            <w:pPr>
              <w:pStyle w:val="Compact"/>
              <w:jc w:val="left"/>
            </w:pPr>
            <w:r>
              <w:t xml:space="preserve">330,000</w:t>
            </w:r>
          </w:p>
        </w:tc>
      </w:tr>
      <w:tr>
        <w:tc>
          <w:tcPr/>
          <w:p>
            <w:pPr>
              <w:pStyle w:val="Compact"/>
              <w:jc w:val="left"/>
            </w:pPr>
            <w:r>
              <w:t xml:space="preserve">7</w:t>
            </w:r>
          </w:p>
        </w:tc>
        <w:tc>
          <w:tcPr/>
          <w:p>
            <w:pPr>
              <w:pStyle w:val="Compact"/>
              <w:jc w:val="left"/>
            </w:pPr>
            <w:r>
              <w:t xml:space="preserve">Home Visit Service – Doctor General Practitioner (for elderly or mobility-impaired patients within Yangon city limits)</w:t>
            </w:r>
          </w:p>
        </w:tc>
        <w:tc>
          <w:tcPr/>
          <w:p>
            <w:pPr>
              <w:pStyle w:val="Compact"/>
              <w:jc w:val="left"/>
            </w:pPr>
            <w:r>
              <w:t xml:space="preserve">As needed</w:t>
            </w:r>
          </w:p>
        </w:tc>
        <w:tc>
          <w:tcPr/>
          <w:p>
            <w:pPr>
              <w:pStyle w:val="Compact"/>
              <w:jc w:val="left"/>
            </w:pPr>
            <w:r>
              <w:t xml:space="preserve">85,000</w:t>
            </w:r>
          </w:p>
        </w:tc>
        <w:tc>
          <w:tcPr/>
          <w:p>
            <w:pPr>
              <w:pStyle w:val="Compact"/>
              <w:jc w:val="left"/>
            </w:pPr>
            <w:r>
              <w:t xml:space="preserve">4 visits</w:t>
            </w:r>
          </w:p>
        </w:tc>
        <w:tc>
          <w:tcPr/>
          <w:p>
            <w:pPr>
              <w:pStyle w:val="Compact"/>
              <w:jc w:val="left"/>
            </w:pPr>
            <w:r>
              <w:t xml:space="preserve">340,000</w:t>
            </w:r>
          </w:p>
        </w:tc>
      </w:tr>
      <w:tr>
        <w:tc>
          <w:tcPr/>
          <w:p>
            <w:pPr>
              <w:pStyle w:val="Compact"/>
              <w:jc w:val="left"/>
            </w:pPr>
            <w:r>
              <w:t xml:space="preserve">8</w:t>
            </w:r>
          </w:p>
        </w:tc>
        <w:tc>
          <w:tcPr/>
          <w:p>
            <w:pPr>
              <w:pStyle w:val="Compact"/>
              <w:jc w:val="left"/>
            </w:pPr>
            <w:r>
              <w:t xml:space="preserve">Telemedicine / Phone Consultation with Doctor General Practitioner (for minor queries, prescription renewals)</w:t>
            </w:r>
          </w:p>
        </w:tc>
        <w:tc>
          <w:tcPr/>
          <w:p>
            <w:pPr>
              <w:pStyle w:val="Compact"/>
              <w:jc w:val="left"/>
            </w:pPr>
            <w:r>
              <w:t xml:space="preserve">Unlimited</w:t>
            </w:r>
          </w:p>
        </w:tc>
        <w:tc>
          <w:tcPr/>
          <w:p>
            <w:pPr>
              <w:pStyle w:val="Compact"/>
              <w:jc w:val="left"/>
            </w:pPr>
            <w:r>
              <w:t xml:space="preserve">15,000</w:t>
            </w:r>
          </w:p>
        </w:tc>
        <w:tc>
          <w:tcPr/>
          <w:p>
            <w:pPr>
              <w:pStyle w:val="Compact"/>
              <w:jc w:val="left"/>
            </w:pPr>
            <w:r>
              <w:t xml:space="preserve">12 calls</w:t>
            </w:r>
          </w:p>
        </w:tc>
        <w:tc>
          <w:tcPr/>
          <w:p>
            <w:pPr>
              <w:pStyle w:val="Compact"/>
              <w:jc w:val="left"/>
            </w:pPr>
            <w:r>
              <w:t xml:space="preserve">180,000</w:t>
            </w:r>
          </w:p>
        </w:tc>
      </w:tr>
      <w:tr>
        <w:tc>
          <w:tcPr/>
          <w:p>
            <w:pPr>
              <w:pStyle w:val="Compact"/>
              <w:jc w:val="left"/>
            </w:pPr>
            <w:r>
              <w:t xml:space="preserve">9</w:t>
            </w:r>
          </w:p>
        </w:tc>
        <w:tc>
          <w:tcPr/>
          <w:p>
            <w:pPr>
              <w:pStyle w:val="Compact"/>
              <w:jc w:val="left"/>
            </w:pPr>
            <w:r>
              <w:t xml:space="preserve">Health Education &amp; Lifestyle Counselling (nutrition, exercise, smoking cessation, mental wellness)</w:t>
            </w:r>
          </w:p>
        </w:tc>
        <w:tc>
          <w:tcPr/>
          <w:p>
            <w:pPr>
              <w:pStyle w:val="Compact"/>
              <w:jc w:val="left"/>
            </w:pPr>
            <w:r>
              <w:t xml:space="preserve">Quarterly</w:t>
            </w:r>
          </w:p>
        </w:tc>
        <w:tc>
          <w:tcPr/>
          <w:p>
            <w:pPr>
              <w:pStyle w:val="Compact"/>
              <w:jc w:val="left"/>
            </w:pPr>
            <w:r>
              <w:t xml:space="preserve">40,000</w:t>
            </w:r>
          </w:p>
        </w:tc>
        <w:tc>
          <w:tcPr/>
          <w:p>
            <w:pPr>
              <w:pStyle w:val="Compact"/>
              <w:jc w:val="left"/>
            </w:pPr>
            <w:r>
              <w:t xml:space="preserve">4 sessions</w:t>
            </w:r>
          </w:p>
        </w:tc>
        <w:tc>
          <w:tcPr/>
          <w:p>
            <w:pPr>
              <w:pStyle w:val="Compact"/>
              <w:jc w:val="left"/>
            </w:pPr>
            <w:r>
              <w:t xml:space="preserve">160,000</w:t>
            </w:r>
          </w:p>
        </w:tc>
      </w:tr>
      <w:tr>
        <w:tc>
          <w:tcPr/>
          <w:p>
            <w:pPr>
              <w:pStyle w:val="Compact"/>
              <w:jc w:val="left"/>
            </w:pPr>
            <w:r>
              <w:t xml:space="preserve">10</w:t>
            </w:r>
          </w:p>
        </w:tc>
        <w:tc>
          <w:tcPr/>
          <w:p>
            <w:pPr>
              <w:pStyle w:val="Compact"/>
              <w:jc w:val="left"/>
            </w:pPr>
            <w:r>
              <w:t xml:space="preserve">Referral Coordination &amp; Specialist Liaison (arranging specialist appointments within Myanmar Yangon hospitals)</w:t>
            </w:r>
          </w:p>
        </w:tc>
        <w:tc>
          <w:tcPr/>
          <w:p>
            <w:pPr>
              <w:pStyle w:val="Compact"/>
              <w:jc w:val="left"/>
            </w:pPr>
            <w:r>
              <w:t xml:space="preserve">As needed</w:t>
            </w:r>
          </w:p>
        </w:tc>
        <w:tc>
          <w:tcPr/>
          <w:p>
            <w:pPr>
              <w:pStyle w:val="Compact"/>
              <w:jc w:val="left"/>
            </w:pPr>
            <w:r>
              <w:t xml:space="preserve">20,000</w:t>
            </w:r>
          </w:p>
        </w:tc>
        <w:tc>
          <w:tcPr/>
          <w:p>
            <w:pPr>
              <w:pStyle w:val="Compact"/>
              <w:jc w:val="left"/>
            </w:pPr>
            <w:r>
              <w:t xml:space="preserve">3 referrals</w:t>
            </w:r>
          </w:p>
        </w:tc>
        <w:tc>
          <w:tcPr/>
          <w:p>
            <w:pPr>
              <w:pStyle w:val="Compact"/>
              <w:jc w:val="left"/>
            </w:pPr>
            <w:r>
              <w:t xml:space="preserve">60,000</w:t>
            </w:r>
          </w:p>
        </w:tc>
      </w:tr>
      <w:tr>
        <w:tc>
          <w:tcPr>
            <w:gridSpan w:val="5"/>
          </w:tcPr>
          <w:p>
            <w:pPr>
              <w:pStyle w:val="Compact"/>
              <w:jc w:val="left"/>
            </w:pPr>
            <w:r>
              <w:t xml:space="preserve">TOTAL ESTIMATED ANNUAL COST</w:t>
            </w:r>
          </w:p>
        </w:tc>
        <w:tc>
          <w:tcPr/>
          <w:p>
            <w:pPr>
              <w:pStyle w:val="Compact"/>
              <w:jc w:val="left"/>
            </w:pPr>
            <w:r>
              <w:t xml:space="preserve">3,870,000 MMK</w:t>
            </w:r>
          </w:p>
        </w:tc>
      </w:tr>
    </w:tbl>
    <w:p>
      <w:pPr>
        <w:pStyle w:val="BodyText"/>
      </w:pPr>
      <w:r>
        <w:rPr>
          <w:bCs/>
          <w:b/>
        </w:rPr>
        <w:t xml:space="preserve">Note:</w:t>
      </w:r>
      <w:r>
        <w:t xml:space="preserve"> </w:t>
      </w:r>
      <w:r>
        <w:t xml:space="preserve">This Quotation Estimate is based on current service rates as of June 2025 in Myanmar Yangon. Prices are subject to revision in accordance with any regulatory adjustments by the Myanmar Medical Association or the Ministry of Health and Sports. All fees are inclusive of standard consultation room usage and basic diagnostic materials. Additional laboratory tests, imaging beyond the annual package, and pharmaceutical costs are billed separately at prevailing Yangon market rates.</w:t>
      </w:r>
    </w:p>
    <w:bookmarkEnd w:id="22"/>
    <w:bookmarkStart w:id="23" w:name="terms-and-conditions"/>
    <w:p>
      <w:pPr>
        <w:pStyle w:val="Heading2"/>
      </w:pPr>
      <w:r>
        <w:t xml:space="preserve">Terms and Conditions</w:t>
      </w:r>
    </w:p>
    <w:p>
      <w:pPr>
        <w:numPr>
          <w:ilvl w:val="0"/>
          <w:numId w:val="1001"/>
        </w:numPr>
        <w:pStyle w:val="Compact"/>
      </w:pPr>
      <w:r>
        <w:t xml:space="preserve">This Quotation Estimate is valid for thirty (30) calendar days from the date of issue. Beyond this period, the Doctor General Practitioner service rates may be subject to revision.</w:t>
      </w:r>
    </w:p>
    <w:p>
      <w:pPr>
        <w:numPr>
          <w:ilvl w:val="0"/>
          <w:numId w:val="1001"/>
        </w:numPr>
        <w:pStyle w:val="Compact"/>
      </w:pPr>
      <w:r>
        <w:t xml:space="preserve">Payment is due within fourteen (14) days of acceptance of this Quotation Estimate. Accepted payment methods include bank transfer (KBZPay, AYA Pay, or Union Bank of Myanmar), cash, and certified cheque.</w:t>
      </w:r>
    </w:p>
    <w:p>
      <w:pPr>
        <w:numPr>
          <w:ilvl w:val="0"/>
          <w:numId w:val="1001"/>
        </w:numPr>
        <w:pStyle w:val="Compact"/>
      </w:pPr>
      <w:r>
        <w:t xml:space="preserve">A 50% advance payment is required to secure the Doctor General Practitioner's schedule and allocate the annual health plan. The remaining 50% is payable within thirty (30) days of the initial consultation.</w:t>
      </w:r>
    </w:p>
    <w:p>
      <w:pPr>
        <w:numPr>
          <w:ilvl w:val="0"/>
          <w:numId w:val="1001"/>
        </w:numPr>
        <w:pStyle w:val="Compact"/>
      </w:pPr>
      <w:r>
        <w:t xml:space="preserve">The Doctor General Practitioner reserves the right to reschedule appointments with a minimum of 24 hours' notice. Cancellations by the client within 12 hours of the scheduled time will incur a 50% fee of the consultation rate.</w:t>
      </w:r>
    </w:p>
    <w:p>
      <w:pPr>
        <w:numPr>
          <w:ilvl w:val="0"/>
          <w:numId w:val="1001"/>
        </w:numPr>
        <w:pStyle w:val="Compact"/>
      </w:pPr>
      <w:r>
        <w:t xml:space="preserve">All medical records generated during the engagement of this Doctor General Practitioner service shall be maintained in compliance with Myanmar's Personal Data Protection Law (2021) and the clinic's internal confidentiality policy.</w:t>
      </w:r>
    </w:p>
    <w:p>
      <w:pPr>
        <w:numPr>
          <w:ilvl w:val="0"/>
          <w:numId w:val="1001"/>
        </w:numPr>
        <w:pStyle w:val="Compact"/>
      </w:pPr>
      <w:r>
        <w:t xml:space="preserve">This Quotation Estimate does not cover emergency surgical interventions, inpatient hospitalization, or specialist procedures beyond the scope of general practice. Such services will be quoted separately upon occurrence.</w:t>
      </w:r>
    </w:p>
    <w:p>
      <w:pPr>
        <w:numPr>
          <w:ilvl w:val="0"/>
          <w:numId w:val="1001"/>
        </w:numPr>
        <w:pStyle w:val="Compact"/>
      </w:pPr>
      <w:r>
        <w:t xml:space="preserve">The Doctor General Practitioner operating in Myanmar Yangon is fully licensed and registered with the Myanmar Medical Council. A copy of the professional license is available upon request.</w:t>
      </w:r>
    </w:p>
    <w:p>
      <w:pPr>
        <w:numPr>
          <w:ilvl w:val="0"/>
          <w:numId w:val="1001"/>
        </w:numPr>
        <w:pStyle w:val="Compact"/>
      </w:pPr>
      <w:r>
        <w:t xml:space="preserve">Any disputes arising from this Quotation Estimate shall be resolved through amicable negotiation, and if unresolved, through the Myanmar Consumer Protection Law framework.</w:t>
      </w:r>
    </w:p>
    <w:p>
      <w:pPr>
        <w:numPr>
          <w:ilvl w:val="0"/>
          <w:numId w:val="1001"/>
        </w:numPr>
        <w:pStyle w:val="Compact"/>
      </w:pPr>
      <w:r>
        <w:t xml:space="preserve">This document constitutes a non-binding estimate until formally accepted in writing by both parties via signed acceptance below.</w:t>
      </w:r>
    </w:p>
    <w:bookmarkEnd w:id="23"/>
    <w:bookmarkStart w:id="24" w:name="acceptance-and-authorization"/>
    <w:p>
      <w:pPr>
        <w:pStyle w:val="Heading2"/>
      </w:pPr>
      <w:r>
        <w:t xml:space="preserve">Acceptance and Authorization</w:t>
      </w:r>
    </w:p>
    <w:p>
      <w:pPr>
        <w:pStyle w:val="FirstParagraph"/>
      </w:pPr>
      <w:r>
        <w:rPr>
          <w:bCs/>
          <w:b/>
        </w:rPr>
        <w:t xml:space="preserve">Prepared by (Doctor General Practitioner / Clinic Director):</w:t>
      </w:r>
    </w:p>
    <w:p>
      <w:pPr>
        <w:pStyle w:val="BodyText"/>
      </w:pPr>
      <w:r>
        <w:t xml:space="preserve">Dr. Thiri Win Aung, MBBS, MSc (Public Health)</w:t>
      </w:r>
      <w:r>
        <w:br/>
      </w:r>
      <w:r>
        <w:t xml:space="preserve">Yangon Comprehensive Medical Centre</w:t>
      </w:r>
      <w:r>
        <w:br/>
      </w:r>
      <w:r>
        <w:t xml:space="preserve">Date: _______________</w:t>
      </w:r>
    </w:p>
    <w:p>
      <w:pPr>
        <w:pStyle w:val="BodyText"/>
      </w:pPr>
      <w:r>
        <w:rPr>
          <w:bCs/>
          <w:b/>
        </w:rPr>
        <w:t xml:space="preserve">Accepted by (Client):</w:t>
      </w:r>
    </w:p>
    <w:p>
      <w:pPr>
        <w:pStyle w:val="BodyText"/>
      </w:pPr>
      <w:r>
        <w:t xml:space="preserve">U Kyaw Min Aung</w:t>
      </w:r>
      <w:r>
        <w:br/>
      </w:r>
      <w:r>
        <w:t xml:space="preserve">Aung Family Health Plan</w:t>
      </w:r>
      <w:r>
        <w:br/>
      </w:r>
      <w:r>
        <w:t xml:space="preserve">Date: _______________</w:t>
      </w:r>
    </w:p>
    <w:p>
      <w:pPr>
        <w:pStyle w:val="BodyText"/>
      </w:pPr>
      <w:r>
        <w:t xml:space="preserve">Yangon Comprehensive Medical Centre | No. 42, Sule Avenue, Pabedan Township, Yangon, Myanmar 11181</w:t>
      </w:r>
    </w:p>
    <w:p>
      <w:pPr>
        <w:pStyle w:val="BodyText"/>
      </w:pPr>
      <w:r>
        <w:t xml:space="preserve">This Quotation Estimate document was generated for the Doctor General Practitioner service engagement in Myanmar Yangon. Document Ref: QTE-YGN-2025-00347 | Page 1 of 1</w:t>
      </w:r>
    </w:p>
    <w:p>
      <w:pPr>
        <w:pStyle w:val="BodyText"/>
      </w:pPr>
      <w:r>
        <w:t xml:space="preserve">© 2025 Yangon Comprehensive Medical Centre.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Myanmar Yangon</dc:title>
  <dc:creator/>
  <dc:language>en</dc:language>
  <cp:keywords/>
  <dcterms:created xsi:type="dcterms:W3CDTF">2026-10-10T06:10:26Z</dcterms:created>
  <dcterms:modified xsi:type="dcterms:W3CDTF">2026-10-10T06:10:26Z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