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Nigeria</w:t>
      </w:r>
      <w:r>
        <w:t xml:space="preserve"> </w:t>
      </w:r>
      <w:r>
        <w:t xml:space="preserve">Abuja</w:t>
      </w:r>
    </w:p>
    <w:bookmarkStart w:id="20" w:name="quotation-estimate"/>
    <w:p>
      <w:pPr>
        <w:pStyle w:val="Heading1"/>
      </w:pPr>
      <w:r>
        <w:t xml:space="preserve">Quotation Estimate</w:t>
      </w:r>
    </w:p>
    <w:p>
      <w:pPr>
        <w:pStyle w:val="FirstParagraph"/>
      </w:pPr>
      <w:r>
        <w:rPr>
          <w:bCs/>
          <w:b/>
        </w:rPr>
        <w:t xml:space="preserve">Abuja Medical &amp; General Practice Centre</w:t>
      </w:r>
    </w:p>
    <w:p>
      <w:pPr>
        <w:pStyle w:val="BodyText"/>
      </w:pPr>
      <w:r>
        <w:t xml:space="preserve">Plot 14, Maitama District, Abuja, FCT, Nigeria</w:t>
      </w:r>
    </w:p>
    <w:p>
      <w:pPr>
        <w:pStyle w:val="BodyText"/>
      </w:pPr>
      <w:r>
        <w:t xml:space="preserve">Tel: +234 (0) 912 345 6789 | Email: enquiries@abujagpcentre.ng</w:t>
      </w:r>
    </w:p>
    <w:p>
      <w:pPr>
        <w:pStyle w:val="BodyText"/>
      </w:pPr>
      <w:r>
        <w:t xml:space="preserve">RC: 4521-8873 | NMC Registration: NG/MD/2019/00452</w:t>
      </w:r>
    </w:p>
    <w:bookmarkEnd w:id="20"/>
    <w:p>
      <w:pPr>
        <w:pStyle w:val="BodyText"/>
      </w:pPr>
      <w:r>
        <w:rPr>
          <w:bCs/>
          <w:b/>
        </w:rPr>
        <w:t xml:space="preserve">Quotation No.:</w:t>
      </w:r>
      <w:r>
        <w:t xml:space="preserve"> </w:t>
      </w:r>
      <w:r>
        <w:t xml:space="preserve">QTE/ABJ/2025/00387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 Organisation Name]</w:t>
      </w:r>
    </w:p>
    <w:p>
      <w:pPr>
        <w:pStyle w:val="BodyText"/>
      </w:pPr>
      <w:r>
        <w:rPr>
          <w:bCs/>
          <w:b/>
        </w:rPr>
        <w:t xml:space="preserve">Address:</w:t>
      </w:r>
      <w:r>
        <w:t xml:space="preserve"> </w:t>
      </w:r>
      <w:r>
        <w:t xml:space="preserve">[Client Address, Abuja, Nigeria]</w:t>
      </w:r>
    </w:p>
    <w:p>
      <w:pPr>
        <w:pStyle w:val="BodyText"/>
      </w:pPr>
      <w:r>
        <w:rPr>
          <w:bCs/>
          <w:b/>
        </w:rPr>
        <w:t xml:space="preserve">Contact:</w:t>
      </w:r>
      <w:r>
        <w:t xml:space="preserve"> </w:t>
      </w:r>
      <w:r>
        <w:t xml:space="preserve">[Phone / Email]</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issued by the Abuja Medical &amp; General Practice Centre in response to your request for comprehensive primary healthcare services provided by a qualified</w:t>
      </w:r>
      <w:r>
        <w:t xml:space="preserve"> </w:t>
      </w:r>
      <w:r>
        <w:t xml:space="preserve">Doctor General Practitioner</w:t>
      </w:r>
      <w:r>
        <w:t xml:space="preserve"> </w:t>
      </w:r>
      <w:r>
        <w:t xml:space="preserve">operating within the Federal Capital Territory of</w:t>
      </w:r>
      <w:r>
        <w:t xml:space="preserve"> </w:t>
      </w:r>
      <w:r>
        <w:t xml:space="preserve">Nigeria Abuja</w:t>
      </w:r>
      <w:r>
        <w:t xml:space="preserve">. This document outlines the full scope of medical consultations, diagnostic assessments, preventive care programmes, and ongoing health management services that our Doctor General Practitioner will deliver to your organisation or household over the agreed service period.</w:t>
      </w:r>
    </w:p>
    <w:p>
      <w:pPr>
        <w:pStyle w:val="BodyText"/>
      </w:pPr>
      <w:r>
        <w:t xml:space="preserve">Our Doctor General Practitioner, Dr. Amina Yusuf (MBBS, MDCN, FRCGP), holds over twelve years of clinical experience in general medicine, family health, occupational wellness, and preventive healthcare. She is fully registered with the Medical and Dental Council of Nigeria (MDCN) and maintains active membership with the Nigerian Medical Association (NMA) Abuja Branch. All services described in this Quotation Estimate comply with the National Health Act 2014 and the regulatory standards set by the Federal Ministry of Health, Nigeria Abuja.</w:t>
      </w:r>
    </w:p>
    <w:bookmarkEnd w:id="21"/>
    <w:bookmarkStart w:id="22" w:name="itemised-services-and-cost-breakdown"/>
    <w:p>
      <w:pPr>
        <w:pStyle w:val="Heading2"/>
      </w:pPr>
      <w:r>
        <w:t xml:space="preserve">2. Itemised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Cost (NGN)</w:t>
            </w:r>
          </w:p>
        </w:tc>
        <w:tc>
          <w:tcPr/>
          <w:p>
            <w:pPr>
              <w:pStyle w:val="Compact"/>
              <w:jc w:val="left"/>
            </w:pPr>
            <w:r>
              <w:t xml:space="preserve">Quantity</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Comprehensive General Practitioner Consultation (initial and follow-up visits)</w:t>
            </w:r>
          </w:p>
        </w:tc>
        <w:tc>
          <w:tcPr/>
          <w:p>
            <w:pPr>
              <w:pStyle w:val="Compact"/>
              <w:jc w:val="left"/>
            </w:pPr>
            <w:r>
              <w:t xml:space="preserve">Monthly</w:t>
            </w:r>
          </w:p>
        </w:tc>
        <w:tc>
          <w:tcPr/>
          <w:p>
            <w:pPr>
              <w:pStyle w:val="Compact"/>
              <w:jc w:val="left"/>
            </w:pPr>
            <w:r>
              <w:t xml:space="preserve">25,000</w:t>
            </w:r>
          </w:p>
        </w:tc>
        <w:tc>
          <w:tcPr/>
          <w:p>
            <w:pPr>
              <w:pStyle w:val="Compact"/>
              <w:jc w:val="left"/>
            </w:pPr>
            <w:r>
              <w:t xml:space="preserve">12</w:t>
            </w:r>
          </w:p>
        </w:tc>
        <w:tc>
          <w:tcPr/>
          <w:p>
            <w:pPr>
              <w:pStyle w:val="Compact"/>
              <w:jc w:val="left"/>
            </w:pPr>
            <w:r>
              <w:t xml:space="preserve">300,000</w:t>
            </w:r>
          </w:p>
        </w:tc>
      </w:tr>
      <w:tr>
        <w:tc>
          <w:tcPr/>
          <w:p>
            <w:pPr>
              <w:pStyle w:val="Compact"/>
              <w:jc w:val="left"/>
            </w:pPr>
            <w:r>
              <w:t xml:space="preserve">2</w:t>
            </w:r>
          </w:p>
        </w:tc>
        <w:tc>
          <w:tcPr/>
          <w:p>
            <w:pPr>
              <w:pStyle w:val="Compact"/>
              <w:jc w:val="left"/>
            </w:pPr>
            <w:r>
              <w:t xml:space="preserve">Full Physical Examination and Health Risk Assessment</w:t>
            </w:r>
          </w:p>
        </w:tc>
        <w:tc>
          <w:tcPr/>
          <w:p>
            <w:pPr>
              <w:pStyle w:val="Compact"/>
              <w:jc w:val="left"/>
            </w:pPr>
            <w:r>
              <w:t xml:space="preserve">Bi-Annual</w:t>
            </w:r>
          </w:p>
        </w:tc>
        <w:tc>
          <w:tcPr/>
          <w:p>
            <w:pPr>
              <w:pStyle w:val="Compact"/>
              <w:jc w:val="left"/>
            </w:pPr>
            <w:r>
              <w:t xml:space="preserve">45,000</w:t>
            </w:r>
          </w:p>
        </w:tc>
        <w:tc>
          <w:tcPr/>
          <w:p>
            <w:pPr>
              <w:pStyle w:val="Compact"/>
              <w:jc w:val="left"/>
            </w:pPr>
            <w:r>
              <w:t xml:space="preserve">2</w:t>
            </w:r>
          </w:p>
        </w:tc>
        <w:tc>
          <w:tcPr/>
          <w:p>
            <w:pPr>
              <w:pStyle w:val="Compact"/>
              <w:jc w:val="left"/>
            </w:pPr>
            <w:r>
              <w:t xml:space="preserve">90,000</w:t>
            </w:r>
          </w:p>
        </w:tc>
      </w:tr>
      <w:tr>
        <w:tc>
          <w:tcPr/>
          <w:p>
            <w:pPr>
              <w:pStyle w:val="Compact"/>
              <w:jc w:val="left"/>
            </w:pPr>
            <w:r>
              <w:t xml:space="preserve">3</w:t>
            </w:r>
          </w:p>
        </w:tc>
        <w:tc>
          <w:tcPr/>
          <w:p>
            <w:pPr>
              <w:pStyle w:val="Compact"/>
              <w:jc w:val="left"/>
            </w:pPr>
            <w:r>
              <w:t xml:space="preserve">Preventive Health Screening (Blood Pressure, Blood Sugar, Lipid Profile, BMI)</w:t>
            </w:r>
          </w:p>
        </w:tc>
        <w:tc>
          <w:tcPr/>
          <w:p>
            <w:pPr>
              <w:pStyle w:val="Compact"/>
              <w:jc w:val="left"/>
            </w:pPr>
            <w:r>
              <w:t xml:space="preserve">Quarterly</w:t>
            </w:r>
          </w:p>
        </w:tc>
        <w:tc>
          <w:tcPr/>
          <w:p>
            <w:pPr>
              <w:pStyle w:val="Compact"/>
              <w:jc w:val="left"/>
            </w:pPr>
            <w:r>
              <w:t xml:space="preserve">18,500</w:t>
            </w:r>
          </w:p>
        </w:tc>
        <w:tc>
          <w:tcPr/>
          <w:p>
            <w:pPr>
              <w:pStyle w:val="Compact"/>
              <w:jc w:val="left"/>
            </w:pPr>
            <w:r>
              <w:t xml:space="preserve">4</w:t>
            </w:r>
          </w:p>
        </w:tc>
        <w:tc>
          <w:tcPr/>
          <w:p>
            <w:pPr>
              <w:pStyle w:val="Compact"/>
              <w:jc w:val="left"/>
            </w:pPr>
            <w:r>
              <w:t xml:space="preserve">74,000</w:t>
            </w:r>
          </w:p>
        </w:tc>
      </w:tr>
      <w:tr>
        <w:tc>
          <w:tcPr/>
          <w:p>
            <w:pPr>
              <w:pStyle w:val="Compact"/>
              <w:jc w:val="left"/>
            </w:pPr>
            <w:r>
              <w:t xml:space="preserve">4</w:t>
            </w:r>
          </w:p>
        </w:tc>
        <w:tc>
          <w:tcPr/>
          <w:p>
            <w:pPr>
              <w:pStyle w:val="Compact"/>
              <w:jc w:val="left"/>
            </w:pPr>
            <w:r>
              <w:t xml:space="preserve">Immunisation and Vaccination Administration (Adult &amp; Paediatric)</w:t>
            </w:r>
          </w:p>
        </w:tc>
        <w:tc>
          <w:tcPr/>
          <w:p>
            <w:pPr>
              <w:pStyle w:val="Compact"/>
              <w:jc w:val="left"/>
            </w:pPr>
            <w:r>
              <w:t xml:space="preserve">As Required</w:t>
            </w:r>
          </w:p>
        </w:tc>
        <w:tc>
          <w:tcPr/>
          <w:p>
            <w:pPr>
              <w:pStyle w:val="Compact"/>
              <w:jc w:val="left"/>
            </w:pPr>
            <w:r>
              <w:t xml:space="preserve">12,000</w:t>
            </w:r>
          </w:p>
        </w:tc>
        <w:tc>
          <w:tcPr/>
          <w:p>
            <w:pPr>
              <w:pStyle w:val="Compact"/>
              <w:jc w:val="left"/>
            </w:pPr>
            <w:r>
              <w:t xml:space="preserve">6</w:t>
            </w:r>
          </w:p>
        </w:tc>
        <w:tc>
          <w:tcPr/>
          <w:p>
            <w:pPr>
              <w:pStyle w:val="Compact"/>
              <w:jc w:val="left"/>
            </w:pPr>
            <w:r>
              <w:t xml:space="preserve">72,000</w:t>
            </w:r>
          </w:p>
        </w:tc>
      </w:tr>
      <w:tr>
        <w:tc>
          <w:tcPr/>
          <w:p>
            <w:pPr>
              <w:pStyle w:val="Compact"/>
              <w:jc w:val="left"/>
            </w:pPr>
            <w:r>
              <w:t xml:space="preserve">5</w:t>
            </w:r>
          </w:p>
        </w:tc>
        <w:tc>
          <w:tcPr/>
          <w:p>
            <w:pPr>
              <w:pStyle w:val="Compact"/>
              <w:jc w:val="left"/>
            </w:pPr>
            <w:r>
              <w:t xml:space="preserve">Prescription Management and Medication Review</w:t>
            </w:r>
          </w:p>
        </w:tc>
        <w:tc>
          <w:tcPr/>
          <w:p>
            <w:pPr>
              <w:pStyle w:val="Compact"/>
              <w:jc w:val="left"/>
            </w:pPr>
            <w:r>
              <w:t xml:space="preserve">Monthly</w:t>
            </w:r>
          </w:p>
        </w:tc>
        <w:tc>
          <w:tcPr/>
          <w:p>
            <w:pPr>
              <w:pStyle w:val="Compact"/>
              <w:jc w:val="left"/>
            </w:pPr>
            <w:r>
              <w:t xml:space="preserve">8,000</w:t>
            </w:r>
          </w:p>
        </w:tc>
        <w:tc>
          <w:tcPr/>
          <w:p>
            <w:pPr>
              <w:pStyle w:val="Compact"/>
              <w:jc w:val="left"/>
            </w:pPr>
            <w:r>
              <w:t xml:space="preserve">12</w:t>
            </w:r>
          </w:p>
        </w:tc>
        <w:tc>
          <w:tcPr/>
          <w:p>
            <w:pPr>
              <w:pStyle w:val="Compact"/>
              <w:jc w:val="left"/>
            </w:pPr>
            <w:r>
              <w:t xml:space="preserve">96,000</w:t>
            </w:r>
          </w:p>
        </w:tc>
      </w:tr>
      <w:tr>
        <w:tc>
          <w:tcPr/>
          <w:p>
            <w:pPr>
              <w:pStyle w:val="Compact"/>
              <w:jc w:val="left"/>
            </w:pPr>
            <w:r>
              <w:t xml:space="preserve">6</w:t>
            </w:r>
          </w:p>
        </w:tc>
        <w:tc>
          <w:tcPr/>
          <w:p>
            <w:pPr>
              <w:pStyle w:val="Compact"/>
              <w:jc w:val="left"/>
            </w:pPr>
            <w:r>
              <w:t xml:space="preserve">Urgent / Emergency General Practitioner Visit (within Abuja FCT)</w:t>
            </w:r>
          </w:p>
        </w:tc>
        <w:tc>
          <w:tcPr/>
          <w:p>
            <w:pPr>
              <w:pStyle w:val="Compact"/>
              <w:jc w:val="left"/>
            </w:pPr>
            <w:r>
              <w:t xml:space="preserve">As Needed</w:t>
            </w:r>
          </w:p>
        </w:tc>
        <w:tc>
          <w:tcPr/>
          <w:p>
            <w:pPr>
              <w:pStyle w:val="Compact"/>
              <w:jc w:val="left"/>
            </w:pPr>
            <w:r>
              <w:t xml:space="preserve">35,000</w:t>
            </w:r>
          </w:p>
        </w:tc>
        <w:tc>
          <w:tcPr/>
          <w:p>
            <w:pPr>
              <w:pStyle w:val="Compact"/>
              <w:jc w:val="left"/>
            </w:pPr>
            <w:r>
              <w:t xml:space="preserve">4</w:t>
            </w:r>
          </w:p>
        </w:tc>
        <w:tc>
          <w:tcPr/>
          <w:p>
            <w:pPr>
              <w:pStyle w:val="Compact"/>
              <w:jc w:val="left"/>
            </w:pPr>
            <w:r>
              <w:t xml:space="preserve">140,000</w:t>
            </w:r>
          </w:p>
        </w:tc>
      </w:tr>
      <w:tr>
        <w:tc>
          <w:tcPr/>
          <w:p>
            <w:pPr>
              <w:pStyle w:val="Compact"/>
              <w:jc w:val="left"/>
            </w:pPr>
            <w:r>
              <w:t xml:space="preserve">7</w:t>
            </w:r>
          </w:p>
        </w:tc>
        <w:tc>
          <w:tcPr/>
          <w:p>
            <w:pPr>
              <w:pStyle w:val="Compact"/>
              <w:jc w:val="left"/>
            </w:pPr>
            <w:r>
              <w:t xml:space="preserve">Health Education and Lifestyle Counselling Sessions</w:t>
            </w:r>
          </w:p>
        </w:tc>
        <w:tc>
          <w:tcPr/>
          <w:p>
            <w:pPr>
              <w:pStyle w:val="Compact"/>
              <w:jc w:val="left"/>
            </w:pPr>
            <w:r>
              <w:t xml:space="preserve">Monthly</w:t>
            </w:r>
          </w:p>
        </w:tc>
        <w:tc>
          <w:tcPr/>
          <w:p>
            <w:pPr>
              <w:pStyle w:val="Compact"/>
              <w:jc w:val="left"/>
            </w:pPr>
            <w:r>
              <w:t xml:space="preserve">15,000</w:t>
            </w:r>
          </w:p>
        </w:tc>
        <w:tc>
          <w:tcPr/>
          <w:p>
            <w:pPr>
              <w:pStyle w:val="Compact"/>
              <w:jc w:val="left"/>
            </w:pPr>
            <w:r>
              <w:t xml:space="preserve">12</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Referral Coordination to Specialist Physicians (Abuja hospitals)</w:t>
            </w:r>
          </w:p>
        </w:tc>
        <w:tc>
          <w:tcPr/>
          <w:p>
            <w:pPr>
              <w:pStyle w:val="Compact"/>
              <w:jc w:val="left"/>
            </w:pPr>
            <w:r>
              <w:t xml:space="preserve">As Required</w:t>
            </w:r>
          </w:p>
        </w:tc>
        <w:tc>
          <w:tcPr/>
          <w:p>
            <w:pPr>
              <w:pStyle w:val="Compact"/>
              <w:jc w:val="left"/>
            </w:pPr>
            <w:r>
              <w:t xml:space="preserve">10,000</w:t>
            </w:r>
          </w:p>
        </w:tc>
        <w:tc>
          <w:tcPr/>
          <w:p>
            <w:pPr>
              <w:pStyle w:val="Compact"/>
              <w:jc w:val="left"/>
            </w:pPr>
            <w:r>
              <w:t xml:space="preserve">3</w:t>
            </w:r>
          </w:p>
        </w:tc>
        <w:tc>
          <w:tcPr/>
          <w:p>
            <w:pPr>
              <w:pStyle w:val="Compact"/>
              <w:jc w:val="left"/>
            </w:pPr>
            <w:r>
              <w:t xml:space="preserve">30,000</w:t>
            </w:r>
          </w:p>
        </w:tc>
      </w:tr>
      <w:tr>
        <w:tc>
          <w:tcPr/>
          <w:p>
            <w:pPr>
              <w:pStyle w:val="Compact"/>
              <w:jc w:val="left"/>
            </w:pPr>
            <w:r>
              <w:t xml:space="preserve">9</w:t>
            </w:r>
          </w:p>
        </w:tc>
        <w:tc>
          <w:tcPr/>
          <w:p>
            <w:pPr>
              <w:pStyle w:val="Compact"/>
              <w:jc w:val="left"/>
            </w:pPr>
            <w:r>
              <w:t xml:space="preserve">Annual Health Report and Medical File Maintenance</w:t>
            </w:r>
          </w:p>
        </w:tc>
        <w:tc>
          <w:tcPr/>
          <w:p>
            <w:pPr>
              <w:pStyle w:val="Compact"/>
              <w:jc w:val="left"/>
            </w:pPr>
            <w:r>
              <w:t xml:space="preserve">Annually</w:t>
            </w:r>
          </w:p>
        </w:tc>
        <w:tc>
          <w:tcPr/>
          <w:p>
            <w:pPr>
              <w:pStyle w:val="Compact"/>
              <w:jc w:val="left"/>
            </w:pPr>
            <w:r>
              <w:t xml:space="preserve">20,000</w:t>
            </w:r>
          </w:p>
        </w:tc>
        <w:tc>
          <w:tcPr/>
          <w:p>
            <w:pPr>
              <w:pStyle w:val="Compact"/>
              <w:jc w:val="left"/>
            </w:pPr>
            <w:r>
              <w:t xml:space="preserve">1</w:t>
            </w:r>
          </w:p>
        </w:tc>
        <w:tc>
          <w:tcPr/>
          <w:p>
            <w:pPr>
              <w:pStyle w:val="Compact"/>
              <w:jc w:val="left"/>
            </w:pPr>
            <w:r>
              <w:t xml:space="preserve">20,000</w:t>
            </w:r>
          </w:p>
        </w:tc>
      </w:tr>
      <w:tr>
        <w:tc>
          <w:tcPr/>
          <w:p>
            <w:pPr>
              <w:pStyle w:val="Compact"/>
              <w:jc w:val="left"/>
            </w:pPr>
            <w:r>
              <w:t xml:space="preserve">10</w:t>
            </w:r>
          </w:p>
        </w:tc>
        <w:tc>
          <w:tcPr/>
          <w:p>
            <w:pPr>
              <w:pStyle w:val="Compact"/>
              <w:jc w:val="left"/>
            </w:pPr>
            <w:r>
              <w:t xml:space="preserve">On-Site / Home Visit by Doctor General Practitioner (Abuja FCT)</w:t>
            </w:r>
          </w:p>
        </w:tc>
        <w:tc>
          <w:tcPr/>
          <w:p>
            <w:pPr>
              <w:pStyle w:val="Compact"/>
              <w:jc w:val="left"/>
            </w:pPr>
            <w:r>
              <w:t xml:space="preserve">As Required</w:t>
            </w:r>
          </w:p>
        </w:tc>
        <w:tc>
          <w:tcPr/>
          <w:p>
            <w:pPr>
              <w:pStyle w:val="Compact"/>
              <w:jc w:val="left"/>
            </w:pPr>
            <w:r>
              <w:t xml:space="preserve">40,000</w:t>
            </w:r>
          </w:p>
        </w:tc>
        <w:tc>
          <w:tcPr/>
          <w:p>
            <w:pPr>
              <w:pStyle w:val="Compact"/>
              <w:jc w:val="left"/>
            </w:pPr>
            <w:r>
              <w:t xml:space="preserve">6</w:t>
            </w:r>
          </w:p>
        </w:tc>
        <w:tc>
          <w:tcPr/>
          <w:p>
            <w:pPr>
              <w:pStyle w:val="Compact"/>
              <w:jc w:val="left"/>
            </w:pPr>
            <w:r>
              <w:t xml:space="preserve">240,000</w:t>
            </w:r>
          </w:p>
        </w:tc>
      </w:tr>
      <w:tr>
        <w:tc>
          <w:tcPr>
            <w:gridSpan w:val="5"/>
          </w:tcPr>
          <w:p>
            <w:pPr>
              <w:pStyle w:val="Compact"/>
              <w:jc w:val="right"/>
            </w:pPr>
            <w:r>
              <w:t xml:space="preserve">GRAND TOTAL (One Year Service Period)</w:t>
            </w:r>
          </w:p>
        </w:tc>
        <w:tc>
          <w:tcPr/>
          <w:p>
            <w:pPr>
              <w:pStyle w:val="Compact"/>
              <w:jc w:val="left"/>
            </w:pPr>
            <w:r>
              <w:t xml:space="preserve">NGN 1,242,000</w:t>
            </w:r>
          </w:p>
        </w:tc>
      </w:tr>
      <w:tr>
        <w:tc>
          <w:tcPr>
            <w:gridSpan w:val="5"/>
          </w:tcPr>
          <w:p>
            <w:pPr>
              <w:pStyle w:val="Compact"/>
              <w:jc w:val="right"/>
            </w:pPr>
            <w:r>
              <w:t xml:space="preserve">VAT (7.5% as per Nigerian Tax Law)</w:t>
            </w:r>
          </w:p>
        </w:tc>
        <w:tc>
          <w:tcPr/>
          <w:p>
            <w:pPr>
              <w:pStyle w:val="Compact"/>
              <w:jc w:val="left"/>
            </w:pPr>
            <w:r>
              <w:t xml:space="preserve">NGN 93,150</w:t>
            </w:r>
          </w:p>
        </w:tc>
      </w:tr>
      <w:tr>
        <w:tc>
          <w:tcPr>
            <w:gridSpan w:val="5"/>
          </w:tcPr>
          <w:p>
            <w:pPr>
              <w:pStyle w:val="Compact"/>
              <w:jc w:val="right"/>
            </w:pPr>
            <w:r>
              <w:t xml:space="preserve">TOTAL AMOUNT DUE</w:t>
            </w:r>
          </w:p>
        </w:tc>
        <w:tc>
          <w:tcPr/>
          <w:p>
            <w:pPr>
              <w:pStyle w:val="Compact"/>
              <w:jc w:val="left"/>
            </w:pPr>
            <w:r>
              <w:t xml:space="preserve">NGN 1,335,150</w:t>
            </w:r>
          </w:p>
        </w:tc>
      </w:tr>
    </w:tbl>
    <w:bookmarkEnd w:id="22"/>
    <w:bookmarkStart w:id="23" w:name="terms-and-conditions"/>
    <w:p>
      <w:pPr>
        <w:pStyle w:val="Heading2"/>
      </w:pPr>
      <w:r>
        <w:t xml:space="preserve">3. Terms and Conditions</w:t>
      </w:r>
    </w:p>
    <w:p>
      <w:pPr>
        <w:pStyle w:val="FirstParagraph"/>
      </w:pPr>
      <w:r>
        <w:rPr>
          <w:bCs/>
          <w:b/>
        </w:rPr>
        <w:t xml:space="preserve">3.1 Validity:</w:t>
      </w:r>
      <w:r>
        <w:t xml:space="preserve"> </w:t>
      </w:r>
      <w:r>
        <w:t xml:space="preserve">This Quotation Estimate is valid for thirty (30) calendar days from the date of issue. Prices are subject to revision upon expiry due to fluctuations in the Nigerian Naira exchange rate and changes in pharmaceutical costs within Nigeria Abuja.</w:t>
      </w:r>
    </w:p>
    <w:p>
      <w:pPr>
        <w:pStyle w:val="BodyText"/>
      </w:pPr>
      <w:r>
        <w:rPr>
          <w:bCs/>
          <w:b/>
        </w:rPr>
        <w:t xml:space="preserve">3.2 Payment Terms:</w:t>
      </w:r>
      <w:r>
        <w:t xml:space="preserve"> </w:t>
      </w:r>
      <w:r>
        <w:t xml:space="preserve">A minimum deposit of 40% of the total amount is required to activate the service contract. The remaining balance shall be payable in two equal monthly instalments. All payments are to be made via bank transfer to the account of Abuja Medical &amp; General Practice Centre, Access Bank, Account No. 0123456789, Abuja Branch, Nigeria.</w:t>
      </w:r>
    </w:p>
    <w:p>
      <w:pPr>
        <w:pStyle w:val="BodyText"/>
      </w:pPr>
      <w:r>
        <w:rPr>
          <w:bCs/>
          <w:b/>
        </w:rPr>
        <w:t xml:space="preserve">3.3 Service Delivery:</w:t>
      </w:r>
      <w:r>
        <w:t xml:space="preserve"> </w:t>
      </w:r>
      <w:r>
        <w:t xml:space="preserve">The Doctor General Practitioner shall be available for scheduled consultations Monday through Saturday, 8:00 AM to 6:00 PM, at the clinic premises in Maitama, Abuja. Home visits and urgent calls within the Nigeria Abuja metropolitan area will be arranged within four (4) hours of request.</w:t>
      </w:r>
    </w:p>
    <w:p>
      <w:pPr>
        <w:pStyle w:val="BodyText"/>
      </w:pPr>
      <w:r>
        <w:rPr>
          <w:bCs/>
          <w:b/>
        </w:rPr>
        <w:t xml:space="preserve">3.4 Cancellation and Rescheduling:</w:t>
      </w:r>
      <w:r>
        <w:t xml:space="preserve"> </w:t>
      </w:r>
      <w:r>
        <w:t xml:space="preserve">Appointments may be rescheduled with a minimum of 24 hours' notice. Cancellations made less than 24 hours before a scheduled visit will incur a 50% fee of the consultation charge.</w:t>
      </w:r>
    </w:p>
    <w:p>
      <w:pPr>
        <w:pStyle w:val="BodyText"/>
      </w:pPr>
      <w:r>
        <w:rPr>
          <w:bCs/>
          <w:b/>
        </w:rPr>
        <w:t xml:space="preserve">3.5 Confidentiality:</w:t>
      </w:r>
      <w:r>
        <w:t xml:space="preserve"> </w:t>
      </w:r>
      <w:r>
        <w:t xml:space="preserve">All patient records, medical histories, and health data collected by the Doctor General Practitioner are protected under the National Health Act 2014 and the Data Protection Regulation (Nigeria, 2019). No information will be disclosed to third parties without written consent.</w:t>
      </w:r>
    </w:p>
    <w:p>
      <w:pPr>
        <w:pStyle w:val="BodyText"/>
      </w:pPr>
      <w:r>
        <w:rPr>
          <w:bCs/>
          <w:b/>
        </w:rPr>
        <w:t xml:space="preserve">3.6 Limitation of Liability:</w:t>
      </w:r>
      <w:r>
        <w:t xml:space="preserve"> </w:t>
      </w:r>
      <w:r>
        <w:t xml:space="preserve">The Doctor General Practitioner provides general medical care and preventive services. In cases requiring specialist intervention, the patient will be referred to an appropriate specialist facility in Abuja. The Doctor General Practitioner is not liable for outcomes arising from non-compliance with prescribed treatment plans.</w:t>
      </w:r>
    </w:p>
    <w:p>
      <w:pPr>
        <w:pStyle w:val="BodyText"/>
      </w:pPr>
      <w:r>
        <w:rPr>
          <w:bCs/>
          <w:b/>
        </w:rPr>
        <w:t xml:space="preserve">3.7 Dispute Resolution:</w:t>
      </w:r>
      <w:r>
        <w:t xml:space="preserve"> </w:t>
      </w:r>
      <w:r>
        <w:t xml:space="preserve">Any disputes arising from this Quotation Estimate shall be resolved through mediation in accordance with the laws of the Federal Republic of Nigeria, with jurisdiction in Abuja, FCT.</w:t>
      </w:r>
    </w:p>
    <w:p>
      <w:pPr>
        <w:pStyle w:val="BodyText"/>
      </w:pPr>
      <w:r>
        <w:rPr>
          <w:bCs/>
          <w:b/>
        </w:rPr>
        <w:t xml:space="preserve">Note:</w:t>
      </w:r>
      <w:r>
        <w:t xml:space="preserve"> </w:t>
      </w:r>
      <w:r>
        <w:t xml:space="preserve">This Quotation Estimate does not constitute a binding contract until both parties have signed and the initial deposit has been received. All services are subject to the availability of the Doctor General Practitioner and the clinical appropriateness of the requested procedures. Prices are quoted in Nigerian Naira (NGN) and are inclusive of all standard diagnostic materials unless otherwise stated.</w:t>
      </w:r>
    </w:p>
    <w:bookmarkEnd w:id="23"/>
    <w:bookmarkStart w:id="24" w:name="acceptance-and-authorisation"/>
    <w:p>
      <w:pPr>
        <w:pStyle w:val="Heading2"/>
      </w:pPr>
      <w:r>
        <w:t xml:space="preserve">4. Acceptance and Authorisation</w:t>
      </w:r>
    </w:p>
    <w:p>
      <w:pPr>
        <w:pStyle w:val="FirstParagraph"/>
      </w:pPr>
      <w:r>
        <w:t xml:space="preserve">By signing below, the client acknowledges receipt of this Quotation Estimate and agrees to the terms, conditions, and pricing outlined for the Doctor General Practitioner services in Nigeria Abuja as described herein.</w:t>
      </w:r>
    </w:p>
    <w:p>
      <w:pPr>
        <w:pStyle w:val="BodyText"/>
      </w:pPr>
      <w:r>
        <w:rPr>
          <w:bCs/>
          <w:b/>
        </w:rPr>
        <w:t xml:space="preserve">For: Abuja Medical &amp; General Practice Centre</w:t>
      </w:r>
      <w:r>
        <w:br/>
      </w:r>
      <w:r>
        <w:t xml:space="preserve">Dr. Amina Yusuf – Doctor General Practitioner</w:t>
      </w:r>
      <w:r>
        <w:br/>
      </w:r>
      <w:r>
        <w:t xml:space="preserve">Signature: _________________________</w:t>
      </w:r>
      <w:r>
        <w:br/>
      </w:r>
      <w:r>
        <w:t xml:space="preserve">Date: _________________________</w:t>
      </w:r>
    </w:p>
    <w:p>
      <w:pPr>
        <w:pStyle w:val="BodyText"/>
      </w:pPr>
      <w:r>
        <w:rPr>
          <w:bCs/>
          <w:b/>
        </w:rPr>
        <w:t xml:space="preserve">For: Client / Organisation</w:t>
      </w:r>
      <w:r>
        <w:br/>
      </w:r>
      <w:r>
        <w:t xml:space="preserve">Name: _________________________</w:t>
      </w:r>
      <w:r>
        <w:br/>
      </w:r>
      <w:r>
        <w:t xml:space="preserve">Signature: _________________________</w:t>
      </w:r>
      <w:r>
        <w:br/>
      </w:r>
      <w:r>
        <w:t xml:space="preserve">Date: _________________________</w:t>
      </w:r>
    </w:p>
    <w:p>
      <w:pPr>
        <w:pStyle w:val="BodyText"/>
      </w:pPr>
      <w:r>
        <w:t xml:space="preserve">Abuja Medical &amp; General Practice Centre | Plot 14, Maitama District, Abuja, FCT, Nigeria</w:t>
      </w:r>
    </w:p>
    <w:p>
      <w:pPr>
        <w:pStyle w:val="BodyText"/>
      </w:pPr>
      <w:r>
        <w:t xml:space="preserve">This Quotation Estimate was generated on 15 June 2025 | Document Ref: QTE/ABJ/2025/00387</w:t>
      </w:r>
    </w:p>
    <w:p>
      <w:pPr>
        <w:pStyle w:val="BodyText"/>
      </w:pPr>
      <w:r>
        <w:t xml:space="preserve">© 2025 Abuja Medical &amp; General Practice Centre.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Nigeria Abuja</dc:title>
  <dc:creator/>
  <dc:language>en</dc:language>
  <cp:keywords/>
  <dcterms:created xsi:type="dcterms:W3CDTF">2026-10-10T09:13:56Z</dcterms:created>
  <dcterms:modified xsi:type="dcterms:W3CDTF">2026-10-10T09:13:56Z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