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Saudi Arabia Jeddah — Healthcare &amp; Wellness Solutions</w:t>
      </w:r>
    </w:p>
    <w:bookmarkEnd w:id="20"/>
    <w:p>
      <w:pPr>
        <w:pStyle w:val="BodyText"/>
      </w:pPr>
      <w:r>
        <w:rPr>
          <w:bCs/>
          <w:b/>
        </w:rPr>
        <w:t xml:space="preserve">Al-Shifa General Medical Center</w:t>
      </w:r>
      <w:r>
        <w:br/>
      </w:r>
      <w:r>
        <w:t xml:space="preserve">King Fahd Road, Al Rawdah District</w:t>
      </w:r>
      <w:r>
        <w:br/>
      </w:r>
      <w:r>
        <w:t xml:space="preserve">Jeddah 23436, Saudi Arabia</w:t>
      </w:r>
      <w:r>
        <w:br/>
      </w:r>
      <w:r>
        <w:t xml:space="preserve">Tel: +966 12 655 4321</w:t>
      </w:r>
      <w:r>
        <w:br/>
      </w:r>
      <w:r>
        <w:t xml:space="preserve">Email: info@alshifajeddah.sa</w:t>
      </w:r>
    </w:p>
    <w:p>
      <w:pPr>
        <w:pStyle w:val="BodyText"/>
      </w:pPr>
      <w:r>
        <w:rPr>
          <w:bCs/>
          <w:b/>
        </w:rPr>
        <w:t xml:space="preserve">CR No:</w:t>
      </w:r>
      <w:r>
        <w:t xml:space="preserve"> </w:t>
      </w:r>
      <w:r>
        <w:t xml:space="preserve">1010456789</w:t>
      </w:r>
      <w:r>
        <w:br/>
      </w:r>
      <w:r>
        <w:rPr>
          <w:bCs/>
          <w:b/>
        </w:rPr>
        <w:t xml:space="preserve">MOH License:</w:t>
      </w:r>
      <w:r>
        <w:t xml:space="preserve"> </w:t>
      </w:r>
      <w:r>
        <w:t xml:space="preserve">MED-2024-08765</w:t>
      </w:r>
      <w:r>
        <w:br/>
      </w:r>
      <w:r>
        <w:rPr>
          <w:bCs/>
          <w:b/>
        </w:rPr>
        <w:t xml:space="preserve">CAC License:</w:t>
      </w:r>
      <w:r>
        <w:t xml:space="preserve"> </w:t>
      </w:r>
      <w:r>
        <w:t xml:space="preserve">CAC-JED-2024-3321</w:t>
      </w:r>
      <w:r>
        <w:br/>
      </w:r>
      <w:r>
        <w:rPr>
          <w:bCs/>
          <w:b/>
        </w:rPr>
        <w:t xml:space="preserve">VAT No:</w:t>
      </w:r>
      <w:r>
        <w:t xml:space="preserve"> </w:t>
      </w:r>
      <w:r>
        <w:t xml:space="preserve">310123456700003</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QE-2025-JED-00482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Khalid Al-Otaibi — Al-Otaibi Family Health Plan</w:t>
            </w:r>
          </w:p>
        </w:tc>
      </w:tr>
      <w:tr>
        <w:tc>
          <w:tcPr/>
          <w:p>
            <w:pPr>
              <w:pStyle w:val="Compact"/>
              <w:jc w:val="left"/>
            </w:pPr>
            <w:r>
              <w:t xml:space="preserve">Client Address</w:t>
            </w:r>
          </w:p>
        </w:tc>
        <w:tc>
          <w:tcPr/>
          <w:p>
            <w:pPr>
              <w:pStyle w:val="Compact"/>
              <w:jc w:val="left"/>
            </w:pPr>
            <w:r>
              <w:t xml:space="preserve">Al Shati District, Jeddah 23542, Saudi Arabia</w:t>
            </w:r>
          </w:p>
        </w:tc>
      </w:tr>
      <w:tr>
        <w:tc>
          <w:tcPr/>
          <w:p>
            <w:pPr>
              <w:pStyle w:val="Compact"/>
              <w:jc w:val="left"/>
            </w:pPr>
            <w:r>
              <w:t xml:space="preserve">Service Category</w:t>
            </w:r>
          </w:p>
        </w:tc>
        <w:tc>
          <w:tcPr/>
          <w:p>
            <w:pPr>
              <w:pStyle w:val="Compact"/>
              <w:jc w:val="left"/>
            </w:pPr>
            <w:r>
              <w:t xml:space="preserve">Doctor General Practitioner — Primary Care &amp; Preventive Medicine</w:t>
            </w:r>
          </w:p>
        </w:tc>
      </w:tr>
      <w:tr>
        <w:tc>
          <w:tcPr/>
          <w:p>
            <w:pPr>
              <w:pStyle w:val="Compact"/>
              <w:jc w:val="left"/>
            </w:pPr>
            <w:r>
              <w:t xml:space="preserve">Payment Currency</w:t>
            </w:r>
          </w:p>
        </w:tc>
        <w:tc>
          <w:tcPr/>
          <w:p>
            <w:pPr>
              <w:pStyle w:val="Compact"/>
              <w:jc w:val="left"/>
            </w:pPr>
            <w:r>
              <w:t xml:space="preserve">Saudi Riyal (SAR)</w:t>
            </w:r>
          </w:p>
        </w:tc>
      </w:tr>
    </w:tbl>
    <w:bookmarkStart w:id="21" w:name="Xb941ec033c1afb0dbd940086c72cd4891a4c725"/>
    <w:p>
      <w:pPr>
        <w:pStyle w:val="Heading2"/>
      </w:pPr>
      <w:r>
        <w:t xml:space="preserve">1. Scope of Services — Doctor General Practitioner</w:t>
      </w:r>
    </w:p>
    <w:p>
      <w:pPr>
        <w:pStyle w:val="FirstParagraph"/>
      </w:pPr>
      <w:r>
        <w:t xml:space="preserve">This</w:t>
      </w:r>
      <w:r>
        <w:t xml:space="preserve"> </w:t>
      </w:r>
      <w:r>
        <w:t xml:space="preserve">Quotation Estimate</w:t>
      </w:r>
      <w:r>
        <w:t xml:space="preserve"> </w:t>
      </w:r>
      <w:r>
        <w:t xml:space="preserve">is issued by Al-Shifa General Medical Center, a fully licensed healthcare facility operating in</w:t>
      </w:r>
      <w:r>
        <w:t xml:space="preserve"> </w:t>
      </w:r>
      <w:r>
        <w:t xml:space="preserve">Saudi Arabia Jeddah</w:t>
      </w:r>
      <w:r>
        <w:t xml:space="preserve">, to provide a comprehensive and transparent cost breakdown for the engagement of a</w:t>
      </w:r>
      <w:r>
        <w:t xml:space="preserve"> </w:t>
      </w:r>
      <w:r>
        <w:t xml:space="preserve">Doctor General Practitioner</w:t>
      </w:r>
      <w:r>
        <w:t xml:space="preserve"> </w:t>
      </w:r>
      <w:r>
        <w:t xml:space="preserve">for ongoing primary care, preventive health screening, and general medical consultations. The Doctor General Practitioner assigned to this plan holds a valid Saudi Medical License (SML) issued by the Saudi Commission for Health Specialties (SCFHS) and is registered with the Ministry of Health (MOH) in the Jeddah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(SAR)</w:t>
            </w:r>
          </w:p>
        </w:tc>
        <w:tc>
          <w:tcPr/>
          <w:p>
            <w:pPr>
              <w:pStyle w:val="Compact"/>
              <w:jc w:val="left"/>
            </w:pPr>
            <w:r>
              <w:t xml:space="preserve">Annual Cost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Doctor General Practitioner — General Medical Consultation (in-clinic, Jeddah)</w:t>
            </w:r>
          </w:p>
        </w:tc>
        <w:tc>
          <w:tcPr/>
          <w:p>
            <w:pPr>
              <w:pStyle w:val="Compact"/>
              <w:jc w:val="left"/>
            </w:pPr>
            <w:r>
              <w:t xml:space="preserve">Monthly (12x)</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Includes history, examination, and prescription</w:t>
            </w:r>
          </w:p>
        </w:tc>
      </w:tr>
      <w:tr>
        <w:tc>
          <w:tcPr/>
          <w:p>
            <w:pPr>
              <w:pStyle w:val="Compact"/>
              <w:jc w:val="left"/>
            </w:pPr>
            <w:r>
              <w:t xml:space="preserve">2</w:t>
            </w:r>
          </w:p>
        </w:tc>
        <w:tc>
          <w:tcPr/>
          <w:p>
            <w:pPr>
              <w:pStyle w:val="Compact"/>
              <w:jc w:val="left"/>
            </w:pPr>
            <w:r>
              <w:t xml:space="preserve">Doctor General Practitioner — Preventive Health Screening (annual panel)</w:t>
            </w:r>
          </w:p>
        </w:tc>
        <w:tc>
          <w:tcPr/>
          <w:p>
            <w:pPr>
              <w:pStyle w:val="Compact"/>
              <w:jc w:val="left"/>
            </w:pPr>
            <w:r>
              <w:t xml:space="preserve">Annually (1x)</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Blood work, ECG, chest X-ray, BMI, vision</w:t>
            </w:r>
          </w:p>
        </w:tc>
      </w:tr>
      <w:tr>
        <w:tc>
          <w:tcPr/>
          <w:p>
            <w:pPr>
              <w:pStyle w:val="Compact"/>
              <w:jc w:val="left"/>
            </w:pPr>
            <w:r>
              <w:t xml:space="preserve">3</w:t>
            </w:r>
          </w:p>
        </w:tc>
        <w:tc>
          <w:tcPr/>
          <w:p>
            <w:pPr>
              <w:pStyle w:val="Compact"/>
              <w:jc w:val="left"/>
            </w:pPr>
            <w:r>
              <w:t xml:space="preserve">Doctor General Practitioner — Chronic Disease Management (diabetes / hypertension)</w:t>
            </w:r>
          </w:p>
        </w:tc>
        <w:tc>
          <w:tcPr/>
          <w:p>
            <w:pPr>
              <w:pStyle w:val="Compact"/>
              <w:jc w:val="left"/>
            </w:pPr>
            <w:r>
              <w:t xml:space="preserve">Quarterly (4x)</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Includes HbA1c, renal panel, medication review</w:t>
            </w:r>
          </w:p>
        </w:tc>
      </w:tr>
      <w:tr>
        <w:tc>
          <w:tcPr/>
          <w:p>
            <w:pPr>
              <w:pStyle w:val="Compact"/>
              <w:jc w:val="left"/>
            </w:pPr>
            <w:r>
              <w:t xml:space="preserve">4</w:t>
            </w:r>
          </w:p>
        </w:tc>
        <w:tc>
          <w:tcPr/>
          <w:p>
            <w:pPr>
              <w:pStyle w:val="Compact"/>
              <w:jc w:val="left"/>
            </w:pPr>
            <w:r>
              <w:t xml:space="preserve">Doctor General Practitioner — Telemedicine / Virtual Consultation</w:t>
            </w:r>
          </w:p>
        </w:tc>
        <w:tc>
          <w:tcPr/>
          <w:p>
            <w:pPr>
              <w:pStyle w:val="Compact"/>
              <w:jc w:val="left"/>
            </w:pPr>
            <w:r>
              <w:t xml:space="preserve">As needed (up to 6x)</w:t>
            </w:r>
          </w:p>
        </w:tc>
        <w:tc>
          <w:tcPr/>
          <w:p>
            <w:pPr>
              <w:pStyle w:val="Compact"/>
              <w:jc w:val="left"/>
            </w:pPr>
            <w:r>
              <w:t xml:space="preserve">200.00</w:t>
            </w:r>
          </w:p>
        </w:tc>
        <w:tc>
          <w:tcPr/>
          <w:p>
            <w:pPr>
              <w:pStyle w:val="Compact"/>
              <w:jc w:val="left"/>
            </w:pPr>
            <w:r>
              <w:t xml:space="preserve">1,200.00</w:t>
            </w:r>
          </w:p>
        </w:tc>
        <w:tc>
          <w:tcPr/>
          <w:p>
            <w:pPr>
              <w:pStyle w:val="Compact"/>
              <w:jc w:val="left"/>
            </w:pPr>
            <w:r>
              <w:t xml:space="preserve">MOH-approved telehealth platform</w:t>
            </w:r>
          </w:p>
        </w:tc>
      </w:tr>
      <w:tr>
        <w:tc>
          <w:tcPr/>
          <w:p>
            <w:pPr>
              <w:pStyle w:val="Compact"/>
              <w:jc w:val="left"/>
            </w:pPr>
            <w:r>
              <w:t xml:space="preserve">5</w:t>
            </w:r>
          </w:p>
        </w:tc>
        <w:tc>
          <w:tcPr/>
          <w:p>
            <w:pPr>
              <w:pStyle w:val="Compact"/>
              <w:jc w:val="left"/>
            </w:pPr>
            <w:r>
              <w:t xml:space="preserve">Doctor General Practitioner — Home Visit (Jeddah metropolitan area)</w:t>
            </w:r>
          </w:p>
        </w:tc>
        <w:tc>
          <w:tcPr/>
          <w:p>
            <w:pPr>
              <w:pStyle w:val="Compact"/>
              <w:jc w:val="left"/>
            </w:pPr>
            <w:r>
              <w:t xml:space="preserve">As needed (up to 4x)</w:t>
            </w:r>
          </w:p>
        </w:tc>
        <w:tc>
          <w:tcPr/>
          <w:p>
            <w:pPr>
              <w:pStyle w:val="Compact"/>
              <w:jc w:val="left"/>
            </w:pPr>
            <w:r>
              <w:t xml:space="preserve">600.00</w:t>
            </w:r>
          </w:p>
        </w:tc>
        <w:tc>
          <w:tcPr/>
          <w:p>
            <w:pPr>
              <w:pStyle w:val="Compact"/>
              <w:jc w:val="left"/>
            </w:pPr>
            <w:r>
              <w:t xml:space="preserve">2,400.00</w:t>
            </w:r>
          </w:p>
        </w:tc>
        <w:tc>
          <w:tcPr/>
          <w:p>
            <w:pPr>
              <w:pStyle w:val="Compact"/>
              <w:jc w:val="left"/>
            </w:pPr>
            <w:r>
              <w:t xml:space="preserve">Within 25 km radius of Al Rawdah</w:t>
            </w:r>
          </w:p>
        </w:tc>
      </w:tr>
      <w:tr>
        <w:tc>
          <w:tcPr/>
          <w:p>
            <w:pPr>
              <w:pStyle w:val="Compact"/>
              <w:jc w:val="left"/>
            </w:pPr>
            <w:r>
              <w:t xml:space="preserve">6</w:t>
            </w:r>
          </w:p>
        </w:tc>
        <w:tc>
          <w:tcPr/>
          <w:p>
            <w:pPr>
              <w:pStyle w:val="Compact"/>
              <w:jc w:val="left"/>
            </w:pPr>
            <w:r>
              <w:t xml:space="preserve">Doctor General Practitioner — Vaccination &amp; Immunization Administration</w:t>
            </w:r>
          </w:p>
        </w:tc>
        <w:tc>
          <w:tcPr/>
          <w:p>
            <w:pPr>
              <w:pStyle w:val="Compact"/>
              <w:jc w:val="left"/>
            </w:pPr>
            <w:r>
              <w:t xml:space="preserve">As needed (up to 8x)</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Flu, Tdap, Hepatitis, travel vaccines</w:t>
            </w:r>
          </w:p>
        </w:tc>
      </w:tr>
      <w:tr>
        <w:tc>
          <w:tcPr/>
          <w:p>
            <w:pPr>
              <w:pStyle w:val="Compact"/>
              <w:jc w:val="left"/>
            </w:pPr>
            <w:r>
              <w:t xml:space="preserve">7</w:t>
            </w:r>
          </w:p>
        </w:tc>
        <w:tc>
          <w:tcPr/>
          <w:p>
            <w:pPr>
              <w:pStyle w:val="Compact"/>
              <w:jc w:val="left"/>
            </w:pPr>
            <w:r>
              <w:t xml:space="preserve">Doctor General Practitioner — Referral Coordination &amp; Specialist Liaison</w:t>
            </w:r>
          </w:p>
        </w:tc>
        <w:tc>
          <w:tcPr/>
          <w:p>
            <w:pPr>
              <w:pStyle w:val="Compact"/>
              <w:jc w:val="left"/>
            </w:pPr>
            <w:r>
              <w:t xml:space="preserve">As needed (up to 4x)</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Referral to cardiology, orthopedics, etc.</w:t>
            </w:r>
          </w:p>
        </w:tc>
      </w:tr>
      <w:tr>
        <w:tc>
          <w:tcPr/>
          <w:p>
            <w:pPr>
              <w:pStyle w:val="Compact"/>
              <w:jc w:val="left"/>
            </w:pPr>
            <w:r>
              <w:t xml:space="preserve">8</w:t>
            </w:r>
          </w:p>
        </w:tc>
        <w:tc>
          <w:tcPr/>
          <w:p>
            <w:pPr>
              <w:pStyle w:val="Compact"/>
              <w:jc w:val="left"/>
            </w:pPr>
            <w:r>
              <w:t xml:space="preserve">Doctor General Practitioner — Health Education &amp; Lifestyle Counseling</w:t>
            </w:r>
          </w:p>
        </w:tc>
        <w:tc>
          <w:tcPr/>
          <w:p>
            <w:pPr>
              <w:pStyle w:val="Compact"/>
              <w:jc w:val="left"/>
            </w:pPr>
            <w:r>
              <w:t xml:space="preserve">Bi-annually (2x)</w:t>
            </w:r>
          </w:p>
        </w:tc>
        <w:tc>
          <w:tcPr/>
          <w:p>
            <w:pPr>
              <w:pStyle w:val="Compact"/>
              <w:jc w:val="left"/>
            </w:pPr>
            <w:r>
              <w:t xml:space="preserve">300.00</w:t>
            </w:r>
          </w:p>
        </w:tc>
        <w:tc>
          <w:tcPr/>
          <w:p>
            <w:pPr>
              <w:pStyle w:val="Compact"/>
              <w:jc w:val="left"/>
            </w:pPr>
            <w:r>
              <w:t xml:space="preserve">600.00</w:t>
            </w:r>
          </w:p>
        </w:tc>
        <w:tc>
          <w:tcPr/>
          <w:p>
            <w:pPr>
              <w:pStyle w:val="Compact"/>
              <w:jc w:val="left"/>
            </w:pPr>
            <w:r>
              <w:t xml:space="preserve">Nutrition, exercise, smoking cessation</w:t>
            </w:r>
          </w:p>
        </w:tc>
      </w:tr>
      <w:tr>
        <w:tc>
          <w:tcPr/>
          <w:p>
            <w:pPr>
              <w:pStyle w:val="Compact"/>
              <w:jc w:val="left"/>
            </w:pPr>
            <w:r>
              <w:t xml:space="preserve">9</w:t>
            </w:r>
          </w:p>
        </w:tc>
        <w:tc>
          <w:tcPr/>
          <w:p>
            <w:pPr>
              <w:pStyle w:val="Compact"/>
              <w:jc w:val="left"/>
            </w:pPr>
            <w:r>
              <w:t xml:space="preserve">Doctor General Practitioner — Medical Records Management &amp; Digital Health File</w:t>
            </w:r>
          </w:p>
        </w:tc>
        <w:tc>
          <w:tcPr/>
          <w:p>
            <w:pPr>
              <w:pStyle w:val="Compact"/>
              <w:jc w:val="left"/>
            </w:pPr>
            <w:r>
              <w:t xml:space="preserve">Annual subscription</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MOH-compliant electronic health record</w:t>
            </w:r>
          </w:p>
        </w:tc>
      </w:tr>
      <w:tr>
        <w:tc>
          <w:tcPr/>
          <w:p>
            <w:pPr>
              <w:pStyle w:val="Compact"/>
              <w:jc w:val="left"/>
            </w:pPr>
            <w:r>
              <w:t xml:space="preserve">10</w:t>
            </w:r>
          </w:p>
        </w:tc>
        <w:tc>
          <w:tcPr/>
          <w:p>
            <w:pPr>
              <w:pStyle w:val="Compact"/>
              <w:jc w:val="left"/>
            </w:pPr>
            <w:r>
              <w:t xml:space="preserve">Doctor General Practitioner — Emergency After-Hours On-Call (Jeddah)</w:t>
            </w:r>
          </w:p>
        </w:tc>
        <w:tc>
          <w:tcPr/>
          <w:p>
            <w:pPr>
              <w:pStyle w:val="Compact"/>
              <w:jc w:val="left"/>
            </w:pPr>
            <w:r>
              <w:t xml:space="preserve">Annual coverage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24/7 phone access, 30-min response</w:t>
            </w:r>
          </w:p>
        </w:tc>
      </w:tr>
      <w:tr>
        <w:tc>
          <w:tcPr>
            <w:gridSpan w:val="4"/>
          </w:tcPr>
          <w:p>
            <w:pPr>
              <w:pStyle w:val="Compact"/>
              <w:jc w:val="right"/>
            </w:pPr>
            <w:r>
              <w:t xml:space="preserve">Subtotal (SAR)</w:t>
            </w:r>
          </w:p>
        </w:tc>
        <w:tc>
          <w:tcPr/>
          <w:p>
            <w:pPr>
              <w:pStyle w:val="Compact"/>
              <w:jc w:val="left"/>
            </w:pPr>
            <w:r>
              <w:t xml:space="preserve">17,950.00</w:t>
            </w:r>
          </w:p>
        </w:tc>
        <w:tc>
          <w:tcPr/>
          <w:p>
            <w:pPr>
              <w:pStyle w:val="Compact"/>
            </w:pPr>
          </w:p>
        </w:tc>
      </w:tr>
      <w:tr>
        <w:tc>
          <w:tcPr>
            <w:gridSpan w:val="4"/>
          </w:tcPr>
          <w:p>
            <w:pPr>
              <w:pStyle w:val="Compact"/>
              <w:jc w:val="right"/>
            </w:pPr>
            <w:r>
              <w:t xml:space="preserve">VAT @ 15% (SAR)</w:t>
            </w:r>
          </w:p>
        </w:tc>
        <w:tc>
          <w:tcPr/>
          <w:p>
            <w:pPr>
              <w:pStyle w:val="Compact"/>
              <w:jc w:val="left"/>
            </w:pPr>
            <w:r>
              <w:t xml:space="preserve">2,692.50</w:t>
            </w:r>
          </w:p>
        </w:tc>
        <w:tc>
          <w:tcPr/>
          <w:p>
            <w:pPr>
              <w:pStyle w:val="Compact"/>
            </w:pPr>
          </w:p>
        </w:tc>
      </w:tr>
      <w:tr>
        <w:tc>
          <w:tcPr>
            <w:gridSpan w:val="4"/>
          </w:tcPr>
          <w:p>
            <w:pPr>
              <w:pStyle w:val="Compact"/>
              <w:jc w:val="right"/>
            </w:pPr>
            <w:r>
              <w:t xml:space="preserve">TOTAL ESTIMATED ANNUAL COST (SAR)</w:t>
            </w:r>
          </w:p>
        </w:tc>
        <w:tc>
          <w:tcPr/>
          <w:p>
            <w:pPr>
              <w:pStyle w:val="Compact"/>
              <w:jc w:val="left"/>
            </w:pPr>
            <w:r>
              <w:t xml:space="preserve">20,642.50</w:t>
            </w:r>
          </w:p>
        </w:tc>
        <w:tc>
          <w:tcPr/>
          <w:p>
            <w:pPr>
              <w:pStyle w:val="Compact"/>
            </w:pPr>
          </w:p>
        </w:tc>
      </w:tr>
    </w:tbl>
    <w:p>
      <w:pPr>
        <w:pStyle w:val="BodyText"/>
      </w:pPr>
      <w:r>
        <w:rPr>
          <w:bCs/>
          <w:b/>
        </w:rPr>
        <w:t xml:space="preserve">Note:</w:t>
      </w:r>
      <w:r>
        <w:t xml:space="preserve"> </w:t>
      </w:r>
      <w:r>
        <w:t xml:space="preserve">This Quotation Estimate is valid for 30 days from the date of issue. All prices are in Saudi Riyal (SAR) and include applicable 15% Value Added Tax (VAT) as mandated by the Zakat, Tax and Customs Authority (ZATCA) in Saudi Arabia Jeddah. Any additional services beyond the scope listed above will be subject to a separate Quotation Estimate.</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a non-binding estimate of costs for the Doctor General Practitioner services described herein. Final billing will be based on actual services rendered during the contract period.</w:t>
      </w:r>
    </w:p>
    <w:p>
      <w:pPr>
        <w:numPr>
          <w:ilvl w:val="0"/>
          <w:numId w:val="1001"/>
        </w:numPr>
        <w:pStyle w:val="Compact"/>
      </w:pPr>
      <w:r>
        <w:t xml:space="preserve">The Doctor General Practitioner engaged under this plan is a licensed medical professional registered with the Saudi Commission for Health Specialties (SCFHS) and holds an active practice permit in Jeddah, Saudi Arabia.</w:t>
      </w:r>
    </w:p>
    <w:p>
      <w:pPr>
        <w:numPr>
          <w:ilvl w:val="0"/>
          <w:numId w:val="1001"/>
        </w:numPr>
        <w:pStyle w:val="Compact"/>
      </w:pPr>
      <w:r>
        <w:t xml:space="preserve">Payment terms: 50% advance payment upon acceptance of this Quotation Estimate, with the remaining 50% due within 30 days of the end of the service period. Payments may be made via bank transfer to Al-Shifa General Medical Center's designated account in Jeddah.</w:t>
      </w:r>
    </w:p>
    <w:p>
      <w:pPr>
        <w:numPr>
          <w:ilvl w:val="0"/>
          <w:numId w:val="1001"/>
        </w:numPr>
        <w:pStyle w:val="Compact"/>
      </w:pPr>
      <w:r>
        <w:t xml:space="preserve">All medical records generated by the Doctor General Practitioner will be maintained in compliance with Saudi data protection regulations and the MOH's electronic health record (EHR) standards.</w:t>
      </w:r>
    </w:p>
    <w:p>
      <w:pPr>
        <w:numPr>
          <w:ilvl w:val="0"/>
          <w:numId w:val="1001"/>
        </w:numPr>
        <w:pStyle w:val="Compact"/>
      </w:pPr>
      <w:r>
        <w:t xml:space="preserve">The client reserves the right to request a change of the assigned Doctor General Practitioner with a minimum of 14 days' written notice. No additional fee will apply for one such change per contract year.</w:t>
      </w:r>
    </w:p>
    <w:p>
      <w:pPr>
        <w:numPr>
          <w:ilvl w:val="0"/>
          <w:numId w:val="1001"/>
        </w:numPr>
        <w:pStyle w:val="Compact"/>
      </w:pPr>
      <w:r>
        <w:t xml:space="preserve">This Quotation Estimate does not cover emergency hospitalization, surgical procedures, or specialist consultations beyond the referral coordination service listed in Item 7.</w:t>
      </w:r>
    </w:p>
    <w:p>
      <w:pPr>
        <w:numPr>
          <w:ilvl w:val="0"/>
          <w:numId w:val="1001"/>
        </w:numPr>
        <w:pStyle w:val="Compact"/>
      </w:pPr>
      <w:r>
        <w:t xml:space="preserve">Any cancellation of services by the client prior to the completion of the annual term will result in a pro-rata refund of unused services, less a 10% administrative processing fee.</w:t>
      </w:r>
    </w:p>
    <w:p>
      <w:pPr>
        <w:numPr>
          <w:ilvl w:val="0"/>
          <w:numId w:val="1001"/>
        </w:numPr>
        <w:pStyle w:val="Compact"/>
      </w:pPr>
      <w:r>
        <w:t xml:space="preserve">All services will be delivered in accordance with the Ministry of Health (MOH) guidelines and the Saudi Vision 2030 healthcare quality standards applicable in Saudi Arabia Jeddah.</w:t>
      </w:r>
    </w:p>
    <w:p>
      <w:pPr>
        <w:numPr>
          <w:ilvl w:val="0"/>
          <w:numId w:val="1001"/>
        </w:numPr>
        <w:pStyle w:val="Compact"/>
      </w:pPr>
      <w:r>
        <w:t xml:space="preserve">This Quotation Estimate is subject to the laws of the Kingdom of Saudi Arabia. Any disputes shall be resolved through the competent courts in Jeddah or via arbitration as per Saudi commercial law.</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cost structure outlined for the Doctor General Practitioner services in Saudi Arabia Jeddah. This document serves as the formal basis for service delivery and billing.</w:t>
      </w:r>
    </w:p>
    <w:p>
      <w:pPr>
        <w:pStyle w:val="BodyText"/>
      </w:pPr>
      <w:r>
        <w:rPr>
          <w:bCs/>
          <w:b/>
        </w:rPr>
        <w:t xml:space="preserve">For Al-Shifa General Medical Center</w:t>
      </w:r>
      <w:r>
        <w:br/>
      </w:r>
      <w:r>
        <w:t xml:space="preserve">Dr. Ahmed Al-Harbi, Medical Director</w:t>
      </w:r>
      <w:r>
        <w:br/>
      </w:r>
      <w:r>
        <w:t xml:space="preserve">SML No: 3456789</w:t>
      </w:r>
      <w:r>
        <w:br/>
      </w:r>
      <w:r>
        <w:t xml:space="preserve">Date: _______________</w:t>
      </w:r>
    </w:p>
    <w:p>
      <w:pPr>
        <w:pStyle w:val="BodyText"/>
      </w:pPr>
      <w:r>
        <w:rPr>
          <w:bCs/>
          <w:b/>
        </w:rPr>
        <w:t xml:space="preserve">Client / Authorized Representative</w:t>
      </w:r>
      <w:r>
        <w:br/>
      </w:r>
      <w:r>
        <w:t xml:space="preserve">Mr. Khalid Al-Otaibi</w:t>
      </w:r>
      <w:r>
        <w:br/>
      </w:r>
      <w:r>
        <w:t xml:space="preserve">ID / Iqama No: _______________</w:t>
      </w:r>
      <w:r>
        <w:br/>
      </w:r>
      <w:r>
        <w:t xml:space="preserve">Date: _______________</w:t>
      </w:r>
    </w:p>
    <w:p>
      <w:pPr>
        <w:pStyle w:val="BodyText"/>
      </w:pPr>
      <w:r>
        <w:t xml:space="preserve">Al-Shifa General Medical Center — King Fahd Road, Al Rawdah, Jeddah 23436, Saudi Arabia</w:t>
      </w:r>
      <w:r>
        <w:br/>
      </w:r>
      <w:r>
        <w:t xml:space="preserve">This Quotation Estimate was generated on 15 June 2025. Document Ref: QE-2025-JED-00482</w:t>
      </w:r>
      <w:r>
        <w:br/>
      </w:r>
      <w:r>
        <w:t xml:space="preserve">© 2025 Al-Shifa General Medical Center. All rights reserved. | MOH License: MED-2024-08765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Saudi Arabia Jeddah</dc:title>
  <dc:creator/>
  <dc:language>en</dc:language>
  <cp:keywords/>
  <dcterms:created xsi:type="dcterms:W3CDTF">2026-10-10T08:35:55Z</dcterms:created>
  <dcterms:modified xsi:type="dcterms:W3CDTF">2026-10-10T08:35:55Z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