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quotation-estimate"/>
    <w:p>
      <w:pPr>
        <w:pStyle w:val="Heading1"/>
      </w:pPr>
      <w:r>
        <w:t xml:space="preserve">Quotation Estimate</w:t>
      </w:r>
    </w:p>
    <w:p>
      <w:pPr>
        <w:pStyle w:val="FirstParagraph"/>
      </w:pPr>
      <w:r>
        <w:rPr>
          <w:bCs/>
          <w:b/>
        </w:rPr>
        <w:t xml:space="preserve">Sandton Medical Practice &amp; General Practitioner Services</w:t>
      </w:r>
    </w:p>
    <w:p>
      <w:pPr>
        <w:pStyle w:val="BodyText"/>
      </w:pPr>
      <w:r>
        <w:t xml:space="preserve">124 Rivonia Road, Sandton, Johannesburg, 2196, South Africa</w:t>
      </w:r>
    </w:p>
    <w:p>
      <w:pPr>
        <w:pStyle w:val="BodyText"/>
      </w:pPr>
      <w:r>
        <w:t xml:space="preserve">Telephone: +27 (0)11 447 8230 | Email: enquiries@sandtonmed.co.za</w:t>
      </w:r>
    </w:p>
    <w:p>
      <w:pPr>
        <w:pStyle w:val="BodyText"/>
      </w:pPr>
      <w:r>
        <w:t xml:space="preserve">Medical Council of South Africa (MCSA) Registration No: GP-2019-04872</w:t>
      </w:r>
    </w:p>
    <w:bookmarkEnd w:id="20"/>
    <w:p>
      <w:pPr>
        <w:pStyle w:val="BodyText"/>
      </w:pPr>
      <w:r>
        <w:rPr>
          <w:bCs/>
          <w:b/>
        </w:rPr>
        <w:t xml:space="preserve">Quotation No:</w:t>
      </w:r>
      <w:r>
        <w:t xml:space="preserve"> </w:t>
      </w:r>
      <w:r>
        <w:t xml:space="preserve">QTE-JHB-2025-0347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Prepared For:</w:t>
      </w:r>
      <w:r>
        <w:t xml:space="preserve"> </w:t>
      </w:r>
      <w:r>
        <w:t xml:space="preserve">Mr. Thabo Nkosi</w:t>
      </w:r>
    </w:p>
    <w:p>
      <w:pPr>
        <w:pStyle w:val="BodyText"/>
      </w:pPr>
      <w:r>
        <w:rPr>
          <w:bCs/>
          <w:b/>
        </w:rPr>
        <w:t xml:space="preserve">Client Address:</w:t>
      </w:r>
      <w:r>
        <w:t xml:space="preserve"> </w:t>
      </w:r>
      <w:r>
        <w:t xml:space="preserve">88 Orange Avenue, Fourways, Johannesburg, 2191, South Africa</w:t>
      </w:r>
    </w:p>
    <w:bookmarkStart w:id="21" w:name="introduction-and-scope-of-services"/>
    <w:p>
      <w:pPr>
        <w:pStyle w:val="Heading2"/>
      </w:pPr>
      <w:r>
        <w:t xml:space="preserve">1. Introduction and Scope of Services</w:t>
      </w:r>
    </w:p>
    <w:p>
      <w:pPr>
        <w:pStyle w:val="FirstParagraph"/>
      </w:pPr>
      <w:r>
        <w:t xml:space="preserve">This</w:t>
      </w:r>
      <w:r>
        <w:t xml:space="preserve"> </w:t>
      </w:r>
      <w:r>
        <w:t xml:space="preserve">Quotation Estimate</w:t>
      </w:r>
      <w:r>
        <w:t xml:space="preserve"> </w:t>
      </w:r>
      <w:r>
        <w:t xml:space="preserve">is issued by Sandton Medical Practice &amp; General Practitioner Services, a registered medical facility operating in the greater</w:t>
      </w:r>
      <w:r>
        <w:t xml:space="preserve"> </w:t>
      </w:r>
      <w:r>
        <w:t xml:space="preserve">South Africa Johannesburg</w:t>
      </w:r>
      <w:r>
        <w:t xml:space="preserve"> </w:t>
      </w:r>
      <w:r>
        <w:t xml:space="preserve">metropolitan area. The purpose of this document is to provide Mr. Thabo Nkosi with a comprehensive and transparent breakdown of the professional medical services to be rendered by our</w:t>
      </w:r>
      <w:r>
        <w:t xml:space="preserve"> </w:t>
      </w:r>
      <w:r>
        <w:t xml:space="preserve">Doctor General Practitioner</w:t>
      </w:r>
      <w:r>
        <w:t xml:space="preserve">, Dr. Lindiwe Mokoena (MBS, MMed (Med), FCP SA), for a period of twelve (12) months commencing 1 August 2025.</w:t>
      </w:r>
    </w:p>
    <w:p>
      <w:pPr>
        <w:pStyle w:val="BodyText"/>
      </w:pPr>
      <w:r>
        <w:t xml:space="preserve">The</w:t>
      </w:r>
      <w:r>
        <w:t xml:space="preserve"> </w:t>
      </w:r>
      <w:r>
        <w:t xml:space="preserve">Doctor General Practitioner</w:t>
      </w:r>
      <w:r>
        <w:t xml:space="preserve"> </w:t>
      </w:r>
      <w:r>
        <w:t xml:space="preserve">will provide primary healthcare services in accordance with the standards set by the Health Professions Council of South Africa (HPCSA) and the Medical Council of South Africa (MCSA). All consultations and procedures will take place at our fully equipped clinic located in the Sandton business district of Johannesburg, which is conveniently accessible from all major suburbs within the</w:t>
      </w:r>
      <w:r>
        <w:t xml:space="preserve"> </w:t>
      </w:r>
      <w:r>
        <w:t xml:space="preserve">South Africa Johannesburg</w:t>
      </w:r>
      <w:r>
        <w:t xml:space="preserve"> </w:t>
      </w:r>
      <w:r>
        <w:t xml:space="preserve">region, including Fourways, Rosebank, Bryanston, and Randburg.</w:t>
      </w:r>
    </w:p>
    <w:bookmarkEnd w:id="21"/>
    <w:bookmarkStart w:id="22" w:name="itemised-quotation-estimate-breakdown"/>
    <w:p>
      <w:pPr>
        <w:pStyle w:val="Heading2"/>
      </w:pPr>
      <w:r>
        <w:t xml:space="preserve">2. Itemised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Cost (ZAR)</w:t>
            </w:r>
          </w:p>
        </w:tc>
        <w:tc>
          <w:tcPr/>
          <w:p>
            <w:pPr>
              <w:pStyle w:val="Compact"/>
              <w:jc w:val="left"/>
            </w:pPr>
            <w:r>
              <w:t xml:space="preserve">Annual Total (ZAR)</w:t>
            </w:r>
          </w:p>
        </w:tc>
      </w:tr>
      <w:tr>
        <w:tc>
          <w:tcPr/>
          <w:p>
            <w:pPr>
              <w:pStyle w:val="Compact"/>
              <w:jc w:val="left"/>
            </w:pPr>
            <w:r>
              <w:t xml:space="preserve">01</w:t>
            </w:r>
          </w:p>
        </w:tc>
        <w:tc>
          <w:tcPr/>
          <w:p>
            <w:pPr>
              <w:pStyle w:val="Compact"/>
              <w:jc w:val="left"/>
            </w:pPr>
            <w:r>
              <w:t xml:space="preserve">Comprehensive General Practitioner Consultation (30-minute session) including history-taking, physical examination, and clinical assessment</w:t>
            </w:r>
          </w:p>
        </w:tc>
        <w:tc>
          <w:tcPr/>
          <w:p>
            <w:pPr>
              <w:pStyle w:val="Compact"/>
              <w:jc w:val="left"/>
            </w:pPr>
            <w:r>
              <w:t xml:space="preserve">Monthly (12x)</w:t>
            </w:r>
          </w:p>
        </w:tc>
        <w:tc>
          <w:tcPr/>
          <w:p>
            <w:pPr>
              <w:pStyle w:val="Compact"/>
              <w:jc w:val="left"/>
            </w:pPr>
            <w:r>
              <w:t xml:space="preserve">R 850.00</w:t>
            </w:r>
          </w:p>
        </w:tc>
        <w:tc>
          <w:tcPr/>
          <w:p>
            <w:pPr>
              <w:pStyle w:val="Compact"/>
              <w:jc w:val="left"/>
            </w:pPr>
            <w:r>
              <w:t xml:space="preserve">R 10 200.00</w:t>
            </w:r>
          </w:p>
        </w:tc>
      </w:tr>
      <w:tr>
        <w:tc>
          <w:tcPr/>
          <w:p>
            <w:pPr>
              <w:pStyle w:val="Compact"/>
              <w:jc w:val="left"/>
            </w:pPr>
            <w:r>
              <w:t xml:space="preserve">02</w:t>
            </w:r>
          </w:p>
        </w:tc>
        <w:tc>
          <w:tcPr/>
          <w:p>
            <w:pPr>
              <w:pStyle w:val="Compact"/>
              <w:jc w:val="left"/>
            </w:pPr>
            <w:r>
              <w:t xml:space="preserve">Annual Full-Body Health Screening and Biometric Assessment (blood work, ECG, urinalysis, BMI, blood pressure, and cardiovascular risk profiling)</w:t>
            </w:r>
          </w:p>
        </w:tc>
        <w:tc>
          <w:tcPr/>
          <w:p>
            <w:pPr>
              <w:pStyle w:val="Compact"/>
              <w:jc w:val="left"/>
            </w:pPr>
            <w:r>
              <w:t xml:space="preserve">Once (1x)</w:t>
            </w:r>
          </w:p>
        </w:tc>
        <w:tc>
          <w:tcPr/>
          <w:p>
            <w:pPr>
              <w:pStyle w:val="Compact"/>
              <w:jc w:val="left"/>
            </w:pPr>
            <w:r>
              <w:t xml:space="preserve">R 2 450.00</w:t>
            </w:r>
          </w:p>
        </w:tc>
        <w:tc>
          <w:tcPr/>
          <w:p>
            <w:pPr>
              <w:pStyle w:val="Compact"/>
              <w:jc w:val="left"/>
            </w:pPr>
            <w:r>
              <w:t xml:space="preserve">R 2 450.00</w:t>
            </w:r>
          </w:p>
        </w:tc>
      </w:tr>
      <w:tr>
        <w:tc>
          <w:tcPr/>
          <w:p>
            <w:pPr>
              <w:pStyle w:val="Compact"/>
              <w:jc w:val="left"/>
            </w:pPr>
            <w:r>
              <w:t xml:space="preserve">03</w:t>
            </w:r>
          </w:p>
        </w:tc>
        <w:tc>
          <w:tcPr/>
          <w:p>
            <w:pPr>
              <w:pStyle w:val="Compact"/>
              <w:jc w:val="left"/>
            </w:pPr>
            <w:r>
              <w:t xml:space="preserve">Chronic Disease Management and Medication Review (hypertension, type 2 diabetes monitoring, lipid profile tracking)</w:t>
            </w:r>
          </w:p>
        </w:tc>
        <w:tc>
          <w:tcPr/>
          <w:p>
            <w:pPr>
              <w:pStyle w:val="Compact"/>
              <w:jc w:val="left"/>
            </w:pPr>
            <w:r>
              <w:t xml:space="preserve">Quarterly (4x)</w:t>
            </w:r>
          </w:p>
        </w:tc>
        <w:tc>
          <w:tcPr/>
          <w:p>
            <w:pPr>
              <w:pStyle w:val="Compact"/>
              <w:jc w:val="left"/>
            </w:pPr>
            <w:r>
              <w:t xml:space="preserve">R 650.00</w:t>
            </w:r>
          </w:p>
        </w:tc>
        <w:tc>
          <w:tcPr/>
          <w:p>
            <w:pPr>
              <w:pStyle w:val="Compact"/>
              <w:jc w:val="left"/>
            </w:pPr>
            <w:r>
              <w:t xml:space="preserve">R 2 600.00</w:t>
            </w:r>
          </w:p>
        </w:tc>
      </w:tr>
      <w:tr>
        <w:tc>
          <w:tcPr/>
          <w:p>
            <w:pPr>
              <w:pStyle w:val="Compact"/>
              <w:jc w:val="left"/>
            </w:pPr>
            <w:r>
              <w:t xml:space="preserve">04</w:t>
            </w:r>
          </w:p>
        </w:tc>
        <w:tc>
          <w:tcPr/>
          <w:p>
            <w:pPr>
              <w:pStyle w:val="Compact"/>
              <w:jc w:val="left"/>
            </w:pPr>
            <w:r>
              <w:t xml:space="preserve">Preventive Health Counselling and Lifestyle Modification Programme (nutrition guidance, exercise prescription, smoking cessation support)</w:t>
            </w:r>
          </w:p>
        </w:tc>
        <w:tc>
          <w:tcPr/>
          <w:p>
            <w:pPr>
              <w:pStyle w:val="Compact"/>
              <w:jc w:val="left"/>
            </w:pPr>
            <w:r>
              <w:t xml:space="preserve">Bi-monthly (6x)</w:t>
            </w:r>
          </w:p>
        </w:tc>
        <w:tc>
          <w:tcPr/>
          <w:p>
            <w:pPr>
              <w:pStyle w:val="Compact"/>
              <w:jc w:val="left"/>
            </w:pPr>
            <w:r>
              <w:t xml:space="preserve">R 480.00</w:t>
            </w:r>
          </w:p>
        </w:tc>
        <w:tc>
          <w:tcPr/>
          <w:p>
            <w:pPr>
              <w:pStyle w:val="Compact"/>
              <w:jc w:val="left"/>
            </w:pPr>
            <w:r>
              <w:t xml:space="preserve">R 2 880.00</w:t>
            </w:r>
          </w:p>
        </w:tc>
      </w:tr>
      <w:tr>
        <w:tc>
          <w:tcPr/>
          <w:p>
            <w:pPr>
              <w:pStyle w:val="Compact"/>
              <w:jc w:val="left"/>
            </w:pPr>
            <w:r>
              <w:t xml:space="preserve">05</w:t>
            </w:r>
          </w:p>
        </w:tc>
        <w:tc>
          <w:tcPr/>
          <w:p>
            <w:pPr>
              <w:pStyle w:val="Compact"/>
              <w:jc w:val="left"/>
            </w:pPr>
            <w:r>
              <w:t xml:space="preserve">Minor Surgical Procedures and In-Clinic Treatments (wound management, minor excisions, joint injections, intramuscular and subcutaneous injections)</w:t>
            </w:r>
          </w:p>
        </w:tc>
        <w:tc>
          <w:tcPr/>
          <w:p>
            <w:pPr>
              <w:pStyle w:val="Compact"/>
              <w:jc w:val="left"/>
            </w:pPr>
            <w:r>
              <w:t xml:space="preserve">As required (est. 3x)</w:t>
            </w:r>
          </w:p>
        </w:tc>
        <w:tc>
          <w:tcPr/>
          <w:p>
            <w:pPr>
              <w:pStyle w:val="Compact"/>
              <w:jc w:val="left"/>
            </w:pPr>
            <w:r>
              <w:t xml:space="preserve">R 1 200.00</w:t>
            </w:r>
          </w:p>
        </w:tc>
        <w:tc>
          <w:tcPr/>
          <w:p>
            <w:pPr>
              <w:pStyle w:val="Compact"/>
              <w:jc w:val="left"/>
            </w:pPr>
            <w:r>
              <w:t xml:space="preserve">R 3 600.00</w:t>
            </w:r>
          </w:p>
        </w:tc>
      </w:tr>
      <w:tr>
        <w:tc>
          <w:tcPr/>
          <w:p>
            <w:pPr>
              <w:pStyle w:val="Compact"/>
              <w:jc w:val="left"/>
            </w:pPr>
            <w:r>
              <w:t xml:space="preserve">06</w:t>
            </w:r>
          </w:p>
        </w:tc>
        <w:tc>
          <w:tcPr/>
          <w:p>
            <w:pPr>
              <w:pStyle w:val="Compact"/>
              <w:jc w:val="left"/>
            </w:pPr>
            <w:r>
              <w:t xml:space="preserve">Telemedicine / Virtual GP Consultation via Secure Video Link (for non-urgent follow-ups and prescription renewals)</w:t>
            </w:r>
          </w:p>
        </w:tc>
        <w:tc>
          <w:tcPr/>
          <w:p>
            <w:pPr>
              <w:pStyle w:val="Compact"/>
              <w:jc w:val="left"/>
            </w:pPr>
            <w:r>
              <w:t xml:space="preserve">As required (est. 4x)</w:t>
            </w:r>
          </w:p>
        </w:tc>
        <w:tc>
          <w:tcPr/>
          <w:p>
            <w:pPr>
              <w:pStyle w:val="Compact"/>
              <w:jc w:val="left"/>
            </w:pPr>
            <w:r>
              <w:t xml:space="preserve">R 450.00</w:t>
            </w:r>
          </w:p>
        </w:tc>
        <w:tc>
          <w:tcPr/>
          <w:p>
            <w:pPr>
              <w:pStyle w:val="Compact"/>
              <w:jc w:val="left"/>
            </w:pPr>
            <w:r>
              <w:t xml:space="preserve">R 1 800.00</w:t>
            </w:r>
          </w:p>
        </w:tc>
      </w:tr>
      <w:tr>
        <w:tc>
          <w:tcPr/>
          <w:p>
            <w:pPr>
              <w:pStyle w:val="Compact"/>
              <w:jc w:val="left"/>
            </w:pPr>
            <w:r>
              <w:t xml:space="preserve">07</w:t>
            </w:r>
          </w:p>
        </w:tc>
        <w:tc>
          <w:tcPr/>
          <w:p>
            <w:pPr>
              <w:pStyle w:val="Compact"/>
              <w:jc w:val="left"/>
            </w:pPr>
            <w:r>
              <w:t xml:space="preserve">Medical Certificates, Referral Letters, and Administrative Documentation (including employer fitness certificates and specialist referrals within Johannesburg)</w:t>
            </w:r>
          </w:p>
        </w:tc>
        <w:tc>
          <w:tcPr/>
          <w:p>
            <w:pPr>
              <w:pStyle w:val="Compact"/>
              <w:jc w:val="left"/>
            </w:pPr>
            <w:r>
              <w:t xml:space="preserve">As required (est. 4x)</w:t>
            </w:r>
          </w:p>
        </w:tc>
        <w:tc>
          <w:tcPr/>
          <w:p>
            <w:pPr>
              <w:pStyle w:val="Compact"/>
              <w:jc w:val="left"/>
            </w:pPr>
            <w:r>
              <w:t xml:space="preserve">R 350.00</w:t>
            </w:r>
          </w:p>
        </w:tc>
        <w:tc>
          <w:tcPr/>
          <w:p>
            <w:pPr>
              <w:pStyle w:val="Compact"/>
              <w:jc w:val="left"/>
            </w:pPr>
            <w:r>
              <w:t xml:space="preserve">R 1 400.00</w:t>
            </w:r>
          </w:p>
        </w:tc>
      </w:tr>
      <w:tr>
        <w:tc>
          <w:tcPr/>
          <w:p>
            <w:pPr>
              <w:pStyle w:val="Compact"/>
              <w:jc w:val="left"/>
            </w:pPr>
            <w:r>
              <w:t xml:space="preserve">08</w:t>
            </w:r>
          </w:p>
        </w:tc>
        <w:tc>
          <w:tcPr/>
          <w:p>
            <w:pPr>
              <w:pStyle w:val="Compact"/>
              <w:jc w:val="left"/>
            </w:pPr>
            <w:r>
              <w:t xml:space="preserve">After-Hours and Emergency GP Availability (Saturday morning clinic and on-call telephone triage, 08:00–14:00)</w:t>
            </w:r>
          </w:p>
        </w:tc>
        <w:tc>
          <w:tcPr/>
          <w:p>
            <w:pPr>
              <w:pStyle w:val="Compact"/>
              <w:jc w:val="left"/>
            </w:pPr>
            <w:r>
              <w:t xml:space="preserve">Annual subscription</w:t>
            </w:r>
          </w:p>
        </w:tc>
        <w:tc>
          <w:tcPr/>
          <w:p>
            <w:pPr>
              <w:pStyle w:val="Compact"/>
              <w:jc w:val="left"/>
            </w:pPr>
            <w:r>
              <w:t xml:space="preserve">R 1 500.00</w:t>
            </w:r>
          </w:p>
        </w:tc>
        <w:tc>
          <w:tcPr/>
          <w:p>
            <w:pPr>
              <w:pStyle w:val="Compact"/>
              <w:jc w:val="left"/>
            </w:pPr>
            <w:r>
              <w:t xml:space="preserve">R 1 500.00</w:t>
            </w:r>
          </w:p>
        </w:tc>
      </w:tr>
      <w:tr>
        <w:tc>
          <w:tcPr/>
          <w:p>
            <w:pPr>
              <w:pStyle w:val="Compact"/>
              <w:jc w:val="left"/>
            </w:pPr>
            <w:r>
              <w:t xml:space="preserve">09</w:t>
            </w:r>
          </w:p>
        </w:tc>
        <w:tc>
          <w:tcPr/>
          <w:p>
            <w:pPr>
              <w:pStyle w:val="Compact"/>
              <w:jc w:val="left"/>
            </w:pPr>
            <w:r>
              <w:t xml:space="preserve">Diagnostic Laboratory and Imaging Coordination (arranging and interpreting blood tests, X-rays, and ultrasound scans at partner facilities in Johannesburg)</w:t>
            </w:r>
          </w:p>
        </w:tc>
        <w:tc>
          <w:tcPr/>
          <w:p>
            <w:pPr>
              <w:pStyle w:val="Compact"/>
              <w:jc w:val="left"/>
            </w:pPr>
            <w:r>
              <w:t xml:space="preserve">As required (est. 2x)</w:t>
            </w:r>
          </w:p>
        </w:tc>
        <w:tc>
          <w:tcPr/>
          <w:p>
            <w:pPr>
              <w:pStyle w:val="Compact"/>
              <w:jc w:val="left"/>
            </w:pPr>
            <w:r>
              <w:t xml:space="preserve">R 950.00</w:t>
            </w:r>
          </w:p>
        </w:tc>
        <w:tc>
          <w:tcPr/>
          <w:p>
            <w:pPr>
              <w:pStyle w:val="Compact"/>
              <w:jc w:val="left"/>
            </w:pPr>
            <w:r>
              <w:t xml:space="preserve">R 1 900.00</w:t>
            </w:r>
          </w:p>
        </w:tc>
      </w:tr>
      <w:tr>
        <w:tc>
          <w:tcPr/>
          <w:p>
            <w:pPr>
              <w:pStyle w:val="Compact"/>
              <w:jc w:val="left"/>
            </w:pPr>
            <w:r>
              <w:t xml:space="preserve">10</w:t>
            </w:r>
          </w:p>
        </w:tc>
        <w:tc>
          <w:tcPr/>
          <w:p>
            <w:pPr>
              <w:pStyle w:val="Compact"/>
              <w:jc w:val="left"/>
            </w:pPr>
            <w:r>
              <w:t xml:space="preserve">Administrative and Record-Keeping Fee (electronic medical record maintenance, secure data storage compliant with POPIA, and annual file review)</w:t>
            </w:r>
          </w:p>
        </w:tc>
        <w:tc>
          <w:tcPr/>
          <w:p>
            <w:pPr>
              <w:pStyle w:val="Compact"/>
              <w:jc w:val="left"/>
            </w:pPr>
            <w:r>
              <w:t xml:space="preserve">Annual (1x)</w:t>
            </w:r>
          </w:p>
        </w:tc>
        <w:tc>
          <w:tcPr/>
          <w:p>
            <w:pPr>
              <w:pStyle w:val="Compact"/>
              <w:jc w:val="left"/>
            </w:pPr>
            <w:r>
              <w:t xml:space="preserve">R 1 200.00</w:t>
            </w:r>
          </w:p>
        </w:tc>
        <w:tc>
          <w:tcPr/>
          <w:p>
            <w:pPr>
              <w:pStyle w:val="Compact"/>
              <w:jc w:val="left"/>
            </w:pPr>
            <w:r>
              <w:t xml:space="preserve">R 1 200.00</w:t>
            </w:r>
          </w:p>
        </w:tc>
      </w:tr>
      <w:tr>
        <w:tc>
          <w:tcPr>
            <w:gridSpan w:val="4"/>
          </w:tcPr>
          <w:p>
            <w:pPr>
              <w:pStyle w:val="Compact"/>
              <w:jc w:val="right"/>
            </w:pPr>
            <w:r>
              <w:t xml:space="preserve">SUBTOTAL (Excluding VAT)</w:t>
            </w:r>
          </w:p>
        </w:tc>
        <w:tc>
          <w:tcPr/>
          <w:p>
            <w:pPr>
              <w:pStyle w:val="Compact"/>
              <w:jc w:val="left"/>
            </w:pPr>
            <w:r>
              <w:t xml:space="preserve">R 29 530.00</w:t>
            </w:r>
          </w:p>
        </w:tc>
      </w:tr>
      <w:tr>
        <w:tc>
          <w:tcPr>
            <w:gridSpan w:val="4"/>
          </w:tcPr>
          <w:p>
            <w:pPr>
              <w:pStyle w:val="Compact"/>
              <w:jc w:val="right"/>
            </w:pPr>
            <w:r>
              <w:t xml:space="preserve">VAT @ 15%</w:t>
            </w:r>
          </w:p>
        </w:tc>
        <w:tc>
          <w:tcPr/>
          <w:p>
            <w:pPr>
              <w:pStyle w:val="Compact"/>
              <w:jc w:val="left"/>
            </w:pPr>
            <w:r>
              <w:t xml:space="preserve">R 4 429.50</w:t>
            </w:r>
          </w:p>
        </w:tc>
      </w:tr>
      <w:tr>
        <w:tc>
          <w:tcPr>
            <w:gridSpan w:val="4"/>
          </w:tcPr>
          <w:p>
            <w:pPr>
              <w:pStyle w:val="Compact"/>
              <w:jc w:val="right"/>
            </w:pPr>
            <w:r>
              <w:t xml:space="preserve">GRAND TOTAL (Including VAT)</w:t>
            </w:r>
          </w:p>
        </w:tc>
        <w:tc>
          <w:tcPr/>
          <w:p>
            <w:pPr>
              <w:pStyle w:val="Compact"/>
              <w:jc w:val="left"/>
            </w:pPr>
            <w:r>
              <w:t xml:space="preserve">R 33 959.50</w:t>
            </w:r>
          </w:p>
        </w:tc>
      </w:tr>
    </w:tbl>
    <w:p>
      <w:pPr>
        <w:pStyle w:val="BodyText"/>
      </w:pPr>
      <w:r>
        <w:rPr>
          <w:bCs/>
          <w:b/>
        </w:rPr>
        <w:t xml:space="preserve">Note:</w:t>
      </w:r>
      <w:r>
        <w:t xml:space="preserve"> </w:t>
      </w:r>
      <w:r>
        <w:t xml:space="preserve">This</w:t>
      </w:r>
      <w:r>
        <w:t xml:space="preserve"> </w:t>
      </w:r>
      <w:r>
        <w:t xml:space="preserve">Quotation Estimate</w:t>
      </w:r>
      <w:r>
        <w:t xml:space="preserve"> </w:t>
      </w:r>
      <w:r>
        <w:t xml:space="preserve">is based on the standard fee schedule of the</w:t>
      </w:r>
      <w:r>
        <w:t xml:space="preserve"> </w:t>
      </w:r>
      <w:r>
        <w:t xml:space="preserve">Doctor General Practitioner</w:t>
      </w:r>
      <w:r>
        <w:t xml:space="preserve"> </w:t>
      </w:r>
      <w:r>
        <w:t xml:space="preserve">as published by the Medical Research Council (MRC) for the 2025/2026 financial year. All costs are quoted in South African Rand (ZAR) and are subject to the prevailing VAT rate as determined by the South African Revenue Service (SARS). Should the client's medical aid scheme (e.g., Discovery, Momentum, or Bonitas) cover a portion of these services, the client will be responsible only for the co-payment or gap amount.</w:t>
      </w:r>
    </w:p>
    <w:bookmarkEnd w:id="22"/>
    <w:bookmarkStart w:id="23" w:name="terms-and-conditions"/>
    <w:p>
      <w:pPr>
        <w:pStyle w:val="Heading2"/>
      </w:pPr>
      <w:r>
        <w:t xml:space="preserve">3. Terms and Conditions</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issue. After this period, fees may be adjusted to reflect changes in the MRC fee schedule or operational costs within the</w:t>
      </w:r>
      <w:r>
        <w:t xml:space="preserve"> </w:t>
      </w:r>
      <w:r>
        <w:t xml:space="preserve">South Africa Johannesburg</w:t>
      </w:r>
      <w:r>
        <w:t xml:space="preserve"> </w:t>
      </w:r>
      <w:r>
        <w:t xml:space="preserve">healthcare market.</w:t>
      </w:r>
    </w:p>
    <w:p>
      <w:pPr>
        <w:numPr>
          <w:ilvl w:val="0"/>
          <w:numId w:val="1001"/>
        </w:numPr>
        <w:pStyle w:val="Compact"/>
      </w:pPr>
      <w:r>
        <w:rPr>
          <w:bCs/>
          <w:b/>
        </w:rPr>
        <w:t xml:space="preserve">Payment Terms:</w:t>
      </w:r>
      <w:r>
        <w:t xml:space="preserve"> </w:t>
      </w:r>
      <w:r>
        <w:t xml:space="preserve">The annual total of R 33 959.50 may be settled in a single lump sum within fourteen (14) days of acceptance, or in twelve (12) equal monthly instalments of R 2 829.96 (inclusive of VAT), payable on the first business day of each month via EFT to the practice's designated bank account.</w:t>
      </w:r>
    </w:p>
    <w:p>
      <w:pPr>
        <w:numPr>
          <w:ilvl w:val="0"/>
          <w:numId w:val="1001"/>
        </w:numPr>
        <w:pStyle w:val="Compact"/>
      </w:pPr>
      <w:r>
        <w:rPr>
          <w:bCs/>
          <w:b/>
        </w:rPr>
        <w:t xml:space="preserve">Cancellation:</w:t>
      </w:r>
      <w:r>
        <w:t xml:space="preserve"> </w:t>
      </w:r>
      <w:r>
        <w:t xml:space="preserve">The client may cancel the ongoing GP service agreement with thirty (30) days' written notice. No refund will be issued for services already rendered. A cancellation fee of R 500.00 applies if notice is given less than fourteen (14) days before the next billing cycle.</w:t>
      </w:r>
    </w:p>
    <w:p>
      <w:pPr>
        <w:numPr>
          <w:ilvl w:val="0"/>
          <w:numId w:val="1001"/>
        </w:numPr>
        <w:pStyle w:val="Compact"/>
      </w:pPr>
      <w:r>
        <w:rPr>
          <w:bCs/>
          <w:b/>
        </w:rPr>
        <w:t xml:space="preserve">Confidentiality:</w:t>
      </w:r>
      <w:r>
        <w:t xml:space="preserve"> </w:t>
      </w:r>
      <w:r>
        <w:t xml:space="preserve">All patient records and medical information will be handled in strict accordance with the Protection of Personal Information Act (POPIA) 4 of 2013 and the HPCSA's ethical guidelines. The</w:t>
      </w:r>
      <w:r>
        <w:t xml:space="preserve"> </w:t>
      </w:r>
      <w:r>
        <w:t xml:space="preserve">Doctor General Practitioner</w:t>
      </w:r>
      <w:r>
        <w:t xml:space="preserve"> </w:t>
      </w:r>
      <w:r>
        <w:t xml:space="preserve">is bound by professional confidentiality at all times.</w:t>
      </w:r>
    </w:p>
    <w:p>
      <w:pPr>
        <w:numPr>
          <w:ilvl w:val="0"/>
          <w:numId w:val="1001"/>
        </w:numPr>
        <w:pStyle w:val="Compact"/>
      </w:pPr>
      <w:r>
        <w:rPr>
          <w:bCs/>
          <w:b/>
        </w:rPr>
        <w:t xml:space="preserve">Scope Limitation:</w:t>
      </w:r>
      <w:r>
        <w:t xml:space="preserve"> </w:t>
      </w:r>
      <w:r>
        <w:t xml:space="preserve">This</w:t>
      </w:r>
      <w:r>
        <w:t xml:space="preserve"> </w:t>
      </w:r>
      <w:r>
        <w:t xml:space="preserve">Quotation Estimate</w:t>
      </w:r>
      <w:r>
        <w:t xml:space="preserve"> </w:t>
      </w:r>
      <w:r>
        <w:t xml:space="preserve">covers primary care services only. Specialist referrals, inpatient hospitalisation, emergency department visits, and elective surgical procedures are excluded and will be quoted separately at the time of referral.</w:t>
      </w:r>
    </w:p>
    <w:p>
      <w:pPr>
        <w:numPr>
          <w:ilvl w:val="0"/>
          <w:numId w:val="1001"/>
        </w:numPr>
        <w:pStyle w:val="Compact"/>
      </w:pPr>
      <w:r>
        <w:rPr>
          <w:bCs/>
          <w:b/>
        </w:rPr>
        <w:t xml:space="preserve">Compliance:</w:t>
      </w:r>
      <w:r>
        <w:t xml:space="preserve"> </w:t>
      </w:r>
      <w:r>
        <w:t xml:space="preserve">The practice operates in full compliance with all regulations of the Health Professions Council of South Africa, the National Health Act 61 of 2003, and the relevant by-laws of the City of Johannesburg Metropolitan Municipality.</w:t>
      </w:r>
    </w:p>
    <w:p>
      <w:pPr>
        <w:numPr>
          <w:ilvl w:val="0"/>
          <w:numId w:val="1001"/>
        </w:numPr>
        <w:pStyle w:val="Compact"/>
      </w:pPr>
      <w:r>
        <w:rPr>
          <w:bCs/>
          <w:b/>
        </w:rPr>
        <w:t xml:space="preserve">Dispute Resolution:</w:t>
      </w:r>
      <w:r>
        <w:t xml:space="preserve"> </w:t>
      </w:r>
      <w:r>
        <w:t xml:space="preserve">Any disputes arising from this agreement shall be resolved through the HPCSA's complaints process or, failing that, through the Johannesburg Small Claims Court in accordance with South African law.</w:t>
      </w:r>
    </w:p>
    <w:bookmarkEnd w:id="23"/>
    <w:bookmarkStart w:id="24" w:name="acceptance-and-authorisation"/>
    <w:p>
      <w:pPr>
        <w:pStyle w:val="Heading2"/>
      </w:pPr>
      <w:r>
        <w:t xml:space="preserve">4. Acceptance and Authorisation</w:t>
      </w:r>
    </w:p>
    <w:p>
      <w:pPr>
        <w:pStyle w:val="FirstParagraph"/>
      </w:pPr>
      <w:r>
        <w:t xml:space="preserve">By signing below, the client acknowledges that they have read, understood, and accepted the terms and conditions set out in this</w:t>
      </w:r>
      <w:r>
        <w:t xml:space="preserve"> </w:t>
      </w:r>
      <w:r>
        <w:t xml:space="preserve">Quotation Estimate</w:t>
      </w:r>
      <w:r>
        <w:t xml:space="preserve">. The client further confirms that the services described herein will be provided by the named</w:t>
      </w:r>
      <w:r>
        <w:t xml:space="preserve"> </w:t>
      </w:r>
      <w:r>
        <w:t xml:space="preserve">Doctor General Practitioner</w:t>
      </w:r>
      <w:r>
        <w:t xml:space="preserve"> </w:t>
      </w:r>
      <w:r>
        <w:t xml:space="preserve">at the Sandton Medical Practice facility in Johannesburg, South Africa.</w:t>
      </w:r>
    </w:p>
    <w:p>
      <w:pPr>
        <w:pStyle w:val="BodyText"/>
      </w:pPr>
      <w:r>
        <w:rPr>
          <w:bCs/>
          <w:b/>
        </w:rPr>
        <w:t xml:space="preserve">Client / Authorised Representative:</w:t>
      </w:r>
    </w:p>
    <w:p>
      <w:pPr>
        <w:pStyle w:val="BodyText"/>
      </w:pPr>
      <w:r>
        <w:t xml:space="preserve">Name: Mr. Thabo Nkosi</w:t>
      </w:r>
      <w:r>
        <w:br/>
      </w:r>
      <w:r>
        <w:t xml:space="preserve">Signature: _________________________</w:t>
      </w:r>
      <w:r>
        <w:br/>
      </w:r>
      <w:r>
        <w:t xml:space="preserve">Date: _________________________</w:t>
      </w:r>
    </w:p>
    <w:p>
      <w:pPr>
        <w:pStyle w:val="BodyText"/>
      </w:pPr>
      <w:r>
        <w:rPr>
          <w:bCs/>
          <w:b/>
        </w:rPr>
        <w:t xml:space="preserve">Practice Representative:</w:t>
      </w:r>
    </w:p>
    <w:p>
      <w:pPr>
        <w:pStyle w:val="BodyText"/>
      </w:pPr>
      <w:r>
        <w:t xml:space="preserve">Name: Dr. Lindiwe Mokoena, GP</w:t>
      </w:r>
      <w:r>
        <w:br/>
      </w:r>
      <w:r>
        <w:t xml:space="preserve">Signature: _________________________</w:t>
      </w:r>
      <w:r>
        <w:br/>
      </w:r>
      <w:r>
        <w:t xml:space="preserve">Date: _________________________</w:t>
      </w:r>
    </w:p>
    <w:p>
      <w:pPr>
        <w:pStyle w:val="BodyText"/>
      </w:pPr>
      <w:r>
        <w:rPr>
          <w:bCs/>
          <w:b/>
        </w:rPr>
        <w:t xml:space="preserve">Sandton Medical Practice &amp; General Practitioner Services</w:t>
      </w:r>
      <w:r>
        <w:t xml:space="preserve"> </w:t>
      </w:r>
      <w:r>
        <w:t xml:space="preserve">| 124 Rivonia Road, Sandton, Johannesburg, 2196, South Africa</w:t>
      </w:r>
    </w:p>
    <w:p>
      <w:pPr>
        <w:pStyle w:val="BodyText"/>
      </w:pPr>
      <w:r>
        <w:t xml:space="preserve">This</w:t>
      </w:r>
      <w:r>
        <w:t xml:space="preserve"> </w:t>
      </w:r>
      <w:r>
        <w:t xml:space="preserve">Quotation Estimate</w:t>
      </w:r>
      <w:r>
        <w:t xml:space="preserve"> </w:t>
      </w:r>
      <w:r>
        <w:t xml:space="preserve">(Ref: QTE-JHB-2025-0347) was generated on 14 June 2025. All services are provided by a registered</w:t>
      </w:r>
      <w:r>
        <w:t xml:space="preserve"> </w:t>
      </w:r>
      <w:r>
        <w:t xml:space="preserve">Doctor General Practitioner</w:t>
      </w:r>
      <w:r>
        <w:t xml:space="preserve"> </w:t>
      </w:r>
      <w:r>
        <w:t xml:space="preserve">in the</w:t>
      </w:r>
      <w:r>
        <w:t xml:space="preserve"> </w:t>
      </w:r>
      <w:r>
        <w:t xml:space="preserve">South Africa Johannesburg</w:t>
      </w:r>
      <w:r>
        <w:t xml:space="preserve"> </w:t>
      </w:r>
      <w:r>
        <w:t xml:space="preserve">region. For queries, contact the practice office on +27 (0)11 447 8230 during business hours (Monday to Friday, 08:00–17:00; Saturday, 08:00–13:00).</w:t>
      </w:r>
    </w:p>
    <w:p>
      <w:pPr>
        <w:pStyle w:val="BodyText"/>
      </w:pPr>
      <w:r>
        <w:t xml:space="preserve">© 2025 Sandton Medical Practice. All rights reserved. This document is confidential and intended solely for the named recipient.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South Africa Johannesburg</dc:title>
  <dc:creator/>
  <dc:language>en</dc:language>
  <cp:keywords/>
  <dcterms:created xsi:type="dcterms:W3CDTF">2026-10-10T12:43:03Z</dcterms:created>
  <dcterms:modified xsi:type="dcterms:W3CDTF">2026-10-10T12:43:03Z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